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TERRESTRIAL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spacing w:after="0"/>
              <w:rPr>
                <w:sz w:val="18"/>
                <w:szCs w:val="18"/>
                <w:color w:val="auto"/>
              </w:rPr>
            </w:pPr>
          </w:p>
        </w:tc>
      </w:tr>
      <w:tr>
        <w:trPr>
          <w:trHeight w:val="23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001-42252</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98-1785406</w:t>
            </w:r>
          </w:p>
        </w:tc>
      </w:tr>
      <w:tr>
        <w:trPr>
          <w:trHeight w:val="191"/>
        </w:trPr>
        <w:tc>
          <w:tcPr>
            <w:tcW w:w="2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2730 W. Tyvola Road, Suite 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Charlotte, NC 28217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687-8212</w:t>
      </w:r>
    </w:p>
    <w:p>
      <w:pPr>
        <w:spacing w:after="0" w:line="1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0" w:right="719" w:hanging="10"/>
        <w:spacing w:after="0" w:line="404" w:lineRule="auto"/>
        <w:tabs>
          <w:tab w:leader="none" w:pos="2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534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w:t>
            </w:r>
          </w:p>
        </w:tc>
      </w:tr>
      <w:tr>
        <w:trPr>
          <w:trHeight w:val="245"/>
        </w:trPr>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8"/>
        </w:trPr>
        <w:tc>
          <w:tcPr>
            <w:tcW w:w="5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IMSR</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w:t>
            </w:r>
          </w:p>
        </w:tc>
      </w:tr>
      <w:tr>
        <w:trPr>
          <w:trHeight w:val="234"/>
        </w:trPr>
        <w:tc>
          <w:tcPr>
            <w:tcW w:w="5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LLC</w:t>
            </w:r>
          </w:p>
        </w:tc>
      </w:tr>
      <w:tr>
        <w:trPr>
          <w:trHeight w:val="198"/>
        </w:trPr>
        <w:tc>
          <w:tcPr>
            <w:tcW w:w="5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 one Common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IMSRW</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w:t>
            </w:r>
          </w:p>
        </w:tc>
      </w:tr>
      <w:tr>
        <w:trPr>
          <w:trHeight w:val="234"/>
        </w:trPr>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at a price of $11.50 per share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 LLC</w:t>
            </w:r>
          </w:p>
        </w:tc>
      </w:tr>
    </w:tbl>
    <w:p>
      <w:pPr>
        <w:spacing w:after="0" w:line="198"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488315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On May 14, 2026, Terrestrial Energy Inc. announced its financial and operating results for the quarter ended March 31, 2026. A copy of the press release is furnished herewith as Exhibit 99.1 and incorporated herein by reference.</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6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79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Terrestrial Energy Inc., dated May 14, 2026</w:t>
            </w:r>
          </w:p>
        </w:tc>
      </w:tr>
      <w:tr>
        <w:trPr>
          <w:trHeight w:val="20"/>
        </w:trPr>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2026</w:t>
            </w: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TERRESTRIAL ENERGY INC.</w:t>
            </w:r>
          </w:p>
        </w:tc>
      </w:tr>
      <w:tr>
        <w:trPr>
          <w:trHeight w:val="432"/>
        </w:trPr>
        <w:tc>
          <w:tcPr>
            <w:tcW w:w="2960" w:type="dxa"/>
            <w:vAlign w:val="bottom"/>
          </w:tcPr>
          <w:p>
            <w:pPr>
              <w:spacing w:after="0"/>
              <w:rPr>
                <w:sz w:val="24"/>
                <w:szCs w:val="24"/>
                <w:color w:val="auto"/>
              </w:rPr>
            </w:pPr>
          </w:p>
        </w:tc>
        <w:tc>
          <w:tcPr>
            <w:tcW w:w="22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Thrasher</w:t>
            </w:r>
          </w:p>
        </w:tc>
      </w:tr>
      <w:tr>
        <w:trPr>
          <w:trHeight w:val="191"/>
        </w:trPr>
        <w:tc>
          <w:tcPr>
            <w:tcW w:w="2960" w:type="dxa"/>
            <w:vAlign w:val="bottom"/>
          </w:tcPr>
          <w:p>
            <w:pPr>
              <w:spacing w:after="0"/>
              <w:rPr>
                <w:sz w:val="16"/>
                <w:szCs w:val="16"/>
                <w:color w:val="auto"/>
              </w:rPr>
            </w:pPr>
          </w:p>
        </w:tc>
        <w:tc>
          <w:tcPr>
            <w:tcW w:w="2260" w:type="dxa"/>
            <w:vAlign w:val="bottom"/>
          </w:tcPr>
          <w:p>
            <w:pPr>
              <w:ind w:left="1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Thrasher</w:t>
            </w:r>
          </w:p>
        </w:tc>
      </w:tr>
      <w:tr>
        <w:trPr>
          <w:trHeight w:val="234"/>
        </w:trPr>
        <w:tc>
          <w:tcPr>
            <w:tcW w:w="2960" w:type="dxa"/>
            <w:vAlign w:val="bottom"/>
          </w:tcPr>
          <w:p>
            <w:pPr>
              <w:spacing w:after="0"/>
              <w:rPr>
                <w:sz w:val="20"/>
                <w:szCs w:val="20"/>
                <w:color w:val="auto"/>
              </w:rPr>
            </w:pPr>
          </w:p>
        </w:tc>
        <w:tc>
          <w:tcPr>
            <w:tcW w:w="22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22"/>
        </w:trPr>
        <w:tc>
          <w:tcPr>
            <w:tcW w:w="2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Terrestrial Energy Reports First Quarter 2026 Results</w:t>
      </w:r>
    </w:p>
    <w:p>
      <w:pPr>
        <w:spacing w:after="0" w:line="214" w:lineRule="exact"/>
        <w:rPr>
          <w:sz w:val="20"/>
          <w:szCs w:val="20"/>
          <w:color w:val="auto"/>
        </w:rPr>
      </w:pPr>
    </w:p>
    <w:p>
      <w:pPr>
        <w:jc w:val="center"/>
        <w:ind w:left="60" w:right="79"/>
        <w:spacing w:after="0" w:line="343" w:lineRule="auto"/>
        <w:rPr>
          <w:sz w:val="20"/>
          <w:szCs w:val="20"/>
          <w:color w:val="auto"/>
        </w:rPr>
      </w:pPr>
      <w:r>
        <w:rPr>
          <w:rFonts w:ascii="Times New Roman" w:cs="Times New Roman" w:eastAsia="Times New Roman" w:hAnsi="Times New Roman"/>
          <w:sz w:val="20"/>
          <w:szCs w:val="20"/>
          <w:i w:val="1"/>
          <w:iCs w:val="1"/>
          <w:color w:val="auto"/>
        </w:rPr>
        <w:t>Completed OTA contract with Department of Energy supporting IMSR pilot reactor and IMSR fuel pilot plant projects</w:t>
      </w:r>
    </w:p>
    <w:p>
      <w:pPr>
        <w:spacing w:after="0" w:line="153" w:lineRule="exact"/>
        <w:rPr>
          <w:sz w:val="20"/>
          <w:szCs w:val="20"/>
          <w:color w:val="auto"/>
        </w:rPr>
      </w:pPr>
    </w:p>
    <w:p>
      <w:pPr>
        <w:jc w:val="center"/>
        <w:ind w:left="60" w:right="79"/>
        <w:spacing w:after="0" w:line="343" w:lineRule="auto"/>
        <w:rPr>
          <w:sz w:val="20"/>
          <w:szCs w:val="20"/>
          <w:color w:val="auto"/>
        </w:rPr>
      </w:pPr>
      <w:r>
        <w:rPr>
          <w:rFonts w:ascii="Times New Roman" w:cs="Times New Roman" w:eastAsia="Times New Roman" w:hAnsi="Times New Roman"/>
          <w:sz w:val="20"/>
          <w:szCs w:val="20"/>
          <w:i w:val="1"/>
          <w:iCs w:val="1"/>
          <w:color w:val="auto"/>
        </w:rPr>
        <w:t>Collaboration with Riot Platform for a best-in-class pairing of data center and co-located nuclear plant to deliver up to 4GW of nuclear power capacity for hyperscale AI operation</w:t>
      </w:r>
    </w:p>
    <w:p>
      <w:pPr>
        <w:spacing w:after="0" w:line="153" w:lineRule="exact"/>
        <w:rPr>
          <w:sz w:val="20"/>
          <w:szCs w:val="20"/>
          <w:color w:val="auto"/>
        </w:rPr>
      </w:pPr>
    </w:p>
    <w:p>
      <w:pPr>
        <w:jc w:val="center"/>
        <w:ind w:left="60" w:right="59"/>
        <w:spacing w:after="0" w:line="329" w:lineRule="auto"/>
        <w:rPr>
          <w:sz w:val="20"/>
          <w:szCs w:val="20"/>
          <w:color w:val="auto"/>
        </w:rPr>
      </w:pPr>
      <w:r>
        <w:rPr>
          <w:rFonts w:ascii="Times New Roman" w:cs="Times New Roman" w:eastAsia="Times New Roman" w:hAnsi="Times New Roman"/>
          <w:sz w:val="20"/>
          <w:szCs w:val="20"/>
          <w:i w:val="1"/>
          <w:iCs w:val="1"/>
          <w:color w:val="auto"/>
        </w:rPr>
        <w:t>NRC approved Topical Report on IMSR Postulated Initiating Event methodology and issued Safety Evaluation Report</w:t>
      </w:r>
    </w:p>
    <w:p>
      <w:pPr>
        <w:spacing w:after="0" w:line="166" w:lineRule="exact"/>
        <w:rPr>
          <w:sz w:val="20"/>
          <w:szCs w:val="20"/>
          <w:color w:val="auto"/>
        </w:rPr>
      </w:pPr>
    </w:p>
    <w:p>
      <w:pPr>
        <w:jc w:val="both"/>
        <w:ind w:left="60" w:right="59"/>
        <w:spacing w:after="0" w:line="326" w:lineRule="auto"/>
        <w:rPr>
          <w:sz w:val="20"/>
          <w:szCs w:val="20"/>
          <w:color w:val="auto"/>
        </w:rPr>
      </w:pPr>
      <w:r>
        <w:rPr>
          <w:rFonts w:ascii="Times New Roman" w:cs="Times New Roman" w:eastAsia="Times New Roman" w:hAnsi="Times New Roman"/>
          <w:sz w:val="20"/>
          <w:szCs w:val="20"/>
          <w:b w:val="1"/>
          <w:bCs w:val="1"/>
          <w:color w:val="auto"/>
        </w:rPr>
        <w:t xml:space="preserve">CHARLOTTE, N.C.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May 14, 2026 </w:t>
      </w:r>
      <w:r>
        <w:rPr>
          <w:rFonts w:ascii="Times New Roman" w:cs="Times New Roman" w:eastAsia="Times New Roman" w:hAnsi="Times New Roman"/>
          <w:sz w:val="20"/>
          <w:szCs w:val="20"/>
          <w:color w:val="auto"/>
        </w:rPr>
        <w:t>— Terrestrial Energy Inc. (NASDAQ: IMSR) (“Terrestrial Energy”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 developer of Generation IV small modular nuclear power plants, today announced its financial results for the first quarter ended March 31, 2026.</w:t>
      </w:r>
    </w:p>
    <w:p>
      <w:pPr>
        <w:spacing w:after="0" w:line="133" w:lineRule="exact"/>
        <w:rPr>
          <w:sz w:val="20"/>
          <w:szCs w:val="20"/>
          <w:color w:val="auto"/>
        </w:rPr>
      </w:pPr>
    </w:p>
    <w:p>
      <w:pPr>
        <w:jc w:val="both"/>
        <w:ind w:left="60" w:right="59"/>
        <w:spacing w:after="0" w:line="313" w:lineRule="auto"/>
        <w:rPr>
          <w:sz w:val="20"/>
          <w:szCs w:val="20"/>
          <w:color w:val="auto"/>
        </w:rPr>
      </w:pPr>
      <w:r>
        <w:rPr>
          <w:rFonts w:ascii="Times New Roman" w:cs="Times New Roman" w:eastAsia="Times New Roman" w:hAnsi="Times New Roman"/>
          <w:sz w:val="20"/>
          <w:szCs w:val="20"/>
          <w:color w:val="auto"/>
        </w:rPr>
        <w:t>“During the quarter, Terrestrial Energy delivered against the three-pillar framework outlined in March – IMSR engineering and regulatory programs, including our key project engagements with the U.S. Department of Energy, supply chain development, and our commercial pipeline of IMSR Plant projects,” said Simon Irish, CEO of Terrestrial Energy. “These developments move us closer to serving large industrial markets and the opportunity to power AI, advanced manufacturing, and the broader U.S. economy.”</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Engineering and Regulatory Highlights:</w:t>
      </w:r>
    </w:p>
    <w:p>
      <w:pPr>
        <w:spacing w:after="0" w:line="166" w:lineRule="exact"/>
        <w:rPr>
          <w:sz w:val="20"/>
          <w:szCs w:val="20"/>
          <w:color w:val="auto"/>
        </w:rPr>
      </w:pPr>
    </w:p>
    <w:p>
      <w:pPr>
        <w:jc w:val="both"/>
        <w:ind w:left="700" w:right="79" w:hanging="326"/>
        <w:spacing w:after="0" w:line="319"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Terrestrial Energy signed two Other Transaction Authority (OTA) agreements with the U.S. Department of Energy advancing TETRA, the reactor pilot project, and TEFLA, the fuel line pilot project. The projects support engineering and regulatory programs for IMSR plant commercial operation and infrastructure development for IMSR plant fuel supply.</w:t>
      </w:r>
    </w:p>
    <w:p>
      <w:pPr>
        <w:spacing w:after="0" w:line="59" w:lineRule="exact"/>
        <w:rPr>
          <w:rFonts w:ascii="Times New Roman" w:cs="Times New Roman" w:eastAsia="Times New Roman" w:hAnsi="Times New Roman"/>
          <w:sz w:val="20"/>
          <w:szCs w:val="20"/>
          <w:color w:val="auto"/>
        </w:rPr>
      </w:pPr>
    </w:p>
    <w:p>
      <w:pPr>
        <w:jc w:val="both"/>
        <w:ind w:left="700" w:right="79" w:hanging="326"/>
        <w:spacing w:after="0" w:line="326" w:lineRule="auto"/>
        <w:tabs>
          <w:tab w:leader="none" w:pos="7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Nuclear Regulatory Commission (NRC) approved the Company’s Postulated Initiating Events methodology (PIE) Topical Report and issued its Safety Evaluation Report (SER). This follows the NRC’s acceptance of the Company’s final Topical Report submission announced in April 2026. The NRC’s approval of Terrestrial Energy’s PIE methodology delivers the framework to identify and evaluate events that may challenge the safe operation of IMSR nuclear plant. This analysis is</w:t>
      </w:r>
    </w:p>
    <w:p>
      <w:pPr>
        <w:spacing w:after="0" w:line="1" w:lineRule="exact"/>
        <w:rPr>
          <w:rFonts w:ascii="Times New Roman" w:cs="Times New Roman" w:eastAsia="Times New Roman" w:hAnsi="Times New Roman"/>
          <w:sz w:val="19"/>
          <w:szCs w:val="19"/>
          <w:color w:val="auto"/>
        </w:rPr>
      </w:pPr>
    </w:p>
    <w:p>
      <w:pPr>
        <w:ind w:left="700" w:right="79"/>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foundational to nuclear safety and represents another important regulatory milestone as Terrestrial Energy systematically executes on its nuclear regulatory program with the NRC.</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4" w:name="page5"/>
    <w:bookmarkEnd w:id="4"/>
    <w:p>
      <w:pPr>
        <w:ind w:left="700" w:hanging="326"/>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PIE Topical Report follows on from the NRC’s September 2025 approval of IMSR’s Principal</w:t>
      </w:r>
    </w:p>
    <w:p>
      <w:pPr>
        <w:spacing w:after="0" w:line="67" w:lineRule="exact"/>
        <w:rPr>
          <w:rFonts w:ascii="Times New Roman" w:cs="Times New Roman" w:eastAsia="Times New Roman" w:hAnsi="Times New Roman"/>
          <w:sz w:val="20"/>
          <w:szCs w:val="20"/>
          <w:color w:val="auto"/>
        </w:rPr>
      </w:pPr>
    </w:p>
    <w:p>
      <w:pPr>
        <w:jc w:val="both"/>
        <w:ind w:left="700" w:right="79"/>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Criteria Topical Report. Together, these two Topical Reports establish foundational elements of the IMSR licensing basis for commercial operation. In addition they can now be referenced in future licensing applications without re-evaluation, reducing the scope of subsequent technical review and increasing confidence of the licensing critical path.</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Supply Chain Developments:</w:t>
      </w:r>
    </w:p>
    <w:p>
      <w:pPr>
        <w:spacing w:after="0" w:line="139"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materials’ testing and qualification programs continued during the quarter, including</w:t>
      </w:r>
    </w:p>
    <w:p>
      <w:pPr>
        <w:spacing w:after="0" w:line="67" w:lineRule="exact"/>
        <w:rPr>
          <w:rFonts w:ascii="Times New Roman" w:cs="Times New Roman" w:eastAsia="Times New Roman" w:hAnsi="Times New Roman"/>
          <w:sz w:val="20"/>
          <w:szCs w:val="20"/>
          <w:color w:val="auto"/>
        </w:rPr>
      </w:pPr>
    </w:p>
    <w:p>
      <w:pPr>
        <w:ind w:left="700" w:right="79"/>
        <w:spacing w:after="0" w:line="3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graphite irradiation at one of the world’s most powerful test reactors. These activities are essential for reactor materials’ qualification, supplier selection, and licensing readiness.</w:t>
      </w:r>
    </w:p>
    <w:p>
      <w:pPr>
        <w:spacing w:after="0" w:line="65" w:lineRule="exact"/>
        <w:rPr>
          <w:rFonts w:ascii="Times New Roman" w:cs="Times New Roman" w:eastAsia="Times New Roman" w:hAnsi="Times New Roman"/>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Relationships with nuclear industry suppliers remained in active execution for materials, component</w:t>
      </w:r>
    </w:p>
    <w:p>
      <w:pPr>
        <w:spacing w:after="0" w:line="67" w:lineRule="exact"/>
        <w:rPr>
          <w:rFonts w:ascii="Times New Roman" w:cs="Times New Roman" w:eastAsia="Times New Roman" w:hAnsi="Times New Roman"/>
          <w:sz w:val="20"/>
          <w:szCs w:val="20"/>
          <w:color w:val="auto"/>
        </w:rPr>
      </w:pPr>
    </w:p>
    <w:p>
      <w:pPr>
        <w:ind w:left="700" w:right="79"/>
        <w:spacing w:after="0" w:line="3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services supply, supporting the fabrication of reactor components and the development of fuel supply infrastructure.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Commercial pipeline of IMSR Plant Projects:</w:t>
      </w:r>
    </w:p>
    <w:p>
      <w:pPr>
        <w:spacing w:after="0" w:line="139" w:lineRule="exact"/>
        <w:rPr>
          <w:sz w:val="20"/>
          <w:szCs w:val="20"/>
          <w:color w:val="auto"/>
        </w:rPr>
      </w:pPr>
    </w:p>
    <w:p>
      <w:pPr>
        <w:ind w:left="700" w:hanging="326"/>
        <w:spacing w:after="0"/>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6, 2026, the Company executed a Memorandum of Understanding with Riot Platforms, Inc.</w:t>
      </w:r>
    </w:p>
    <w:p>
      <w:pPr>
        <w:spacing w:after="0" w:line="67" w:lineRule="exact"/>
        <w:rPr>
          <w:rFonts w:ascii="Times New Roman" w:cs="Times New Roman" w:eastAsia="Times New Roman" w:hAnsi="Times New Roman"/>
          <w:sz w:val="20"/>
          <w:szCs w:val="20"/>
          <w:color w:val="auto"/>
        </w:rPr>
      </w:pPr>
    </w:p>
    <w:p>
      <w:pPr>
        <w:jc w:val="both"/>
        <w:ind w:left="700" w:right="79"/>
        <w:spacing w:after="0" w:line="31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(NASDAQ: RIOT), a leader in large-scale data center development, to co-locate IMSR Plants with Riot-developed data centers and create a best-in-class data center – nuclear plant pairing to serve AI and high-performance compute applications. The collaboration contemplates deployment of multiple IMSR Plants representing up to 4GW of nuclear power capacity across multiple sites. The companies will jointly evaluate sites and the opportunities to incorporate a natural gas fuel bridge for fast commercial power supply and to enhance supply resiliency during full nuclear power plant operation.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Performance, Liquidity and Capital Structure:</w:t>
      </w:r>
    </w:p>
    <w:p>
      <w:pPr>
        <w:spacing w:after="0" w:line="247" w:lineRule="exact"/>
        <w:rPr>
          <w:sz w:val="20"/>
          <w:szCs w:val="20"/>
          <w:color w:val="auto"/>
        </w:rPr>
      </w:pPr>
    </w:p>
    <w:p>
      <w:pPr>
        <w:ind w:left="700" w:right="79" w:hanging="326"/>
        <w:spacing w:after="0" w:line="339" w:lineRule="auto"/>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quarter, Terrestrial Energy reported a net loss of $10.5 million, compared to a net loss of $6.2 million for the fourth quarter 2025. This change was primarily driven by:</w:t>
      </w:r>
    </w:p>
    <w:p>
      <w:pPr>
        <w:spacing w:after="0" w:line="160" w:lineRule="exact"/>
        <w:rPr>
          <w:sz w:val="20"/>
          <w:szCs w:val="20"/>
          <w:color w:val="auto"/>
        </w:rPr>
      </w:pPr>
    </w:p>
    <w:p>
      <w:pPr>
        <w:ind w:left="1340" w:right="79" w:hanging="318"/>
        <w:spacing w:after="0" w:line="322" w:lineRule="auto"/>
        <w:tabs>
          <w:tab w:leader="none" w:pos="1340" w:val="left"/>
        </w:tabs>
        <w:numPr>
          <w:ilvl w:val="0"/>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$3.2 million increase in R&amp;D as the Company progressed fuel development and graphite testing programs.</w:t>
      </w:r>
    </w:p>
    <w:p>
      <w:pPr>
        <w:spacing w:after="0" w:line="170" w:lineRule="exact"/>
        <w:rPr>
          <w:rFonts w:ascii="Courier New" w:cs="Courier New" w:eastAsia="Courier New" w:hAnsi="Courier New"/>
          <w:sz w:val="20"/>
          <w:szCs w:val="20"/>
          <w:color w:val="auto"/>
        </w:rPr>
      </w:pPr>
    </w:p>
    <w:p>
      <w:pPr>
        <w:ind w:left="1340" w:right="79" w:hanging="318"/>
        <w:spacing w:after="0" w:line="322" w:lineRule="auto"/>
        <w:tabs>
          <w:tab w:leader="none" w:pos="1340" w:val="left"/>
        </w:tabs>
        <w:numPr>
          <w:ilvl w:val="0"/>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$4.0 million increase in G&amp;A due to increased personnel-related expenses and stock-based compensation.</w:t>
      </w:r>
    </w:p>
    <w:p>
      <w:pPr>
        <w:spacing w:after="0" w:line="170" w:lineRule="exact"/>
        <w:rPr>
          <w:rFonts w:ascii="Courier New" w:cs="Courier New" w:eastAsia="Courier New" w:hAnsi="Courier New"/>
          <w:sz w:val="20"/>
          <w:szCs w:val="20"/>
          <w:color w:val="auto"/>
        </w:rPr>
      </w:pPr>
    </w:p>
    <w:p>
      <w:pPr>
        <w:ind w:left="1340" w:right="79" w:hanging="318"/>
        <w:spacing w:after="0" w:line="322" w:lineRule="auto"/>
        <w:tabs>
          <w:tab w:leader="none" w:pos="1340" w:val="left"/>
        </w:tabs>
        <w:numPr>
          <w:ilvl w:val="0"/>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$2.8 million increase in Other Income (Expense) due to decreased Interest Expense and an increase in Interest and Dividend Income.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 w:name="page6"/>
    <w:bookmarkEnd w:id="5"/>
    <w:p>
      <w:pPr>
        <w:jc w:val="both"/>
        <w:ind w:left="60" w:right="59"/>
        <w:spacing w:after="0" w:line="317" w:lineRule="auto"/>
        <w:rPr>
          <w:sz w:val="20"/>
          <w:szCs w:val="20"/>
          <w:color w:val="auto"/>
        </w:rPr>
      </w:pPr>
      <w:r>
        <w:rPr>
          <w:rFonts w:ascii="Times New Roman" w:cs="Times New Roman" w:eastAsia="Times New Roman" w:hAnsi="Times New Roman"/>
          <w:sz w:val="20"/>
          <w:szCs w:val="20"/>
          <w:color w:val="auto"/>
        </w:rPr>
        <w:t>The Company ended the quarter with a strong balance sheet, reporting $289.9 million in cash and investments as of March 31, 2026. This liquidity provides a substantial runway to deliver important developments across the three pillars of the IMSR plant development and commercialization.</w:t>
      </w:r>
    </w:p>
    <w:p>
      <w:pPr>
        <w:spacing w:after="0" w:line="182"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20"/>
          <w:szCs w:val="20"/>
          <w:color w:val="auto"/>
        </w:rPr>
        <w:t>During the quarter, the Company reported cash burn of $7.9 million, an increase of $1.8 million compared to the prior quarter after consideration of one-time transaction costs associated with the merger. Two items drove much of the increase: a first quarter 2026 payment of $0.6 million for 2025 discretionary bonuses; and, $1.0 million paydown of accounts payable to vendors offering extended credit terms. The remaining $0.2 million increase of first quarter cash burn is attributable to higher sequential payments for research and development.</w:t>
      </w:r>
    </w:p>
    <w:p>
      <w:pPr>
        <w:spacing w:after="0" w:line="169" w:lineRule="exact"/>
        <w:rPr>
          <w:sz w:val="20"/>
          <w:szCs w:val="20"/>
          <w:color w:val="auto"/>
        </w:rPr>
      </w:pPr>
    </w:p>
    <w:p>
      <w:pPr>
        <w:jc w:val="both"/>
        <w:ind w:left="60" w:right="59"/>
        <w:spacing w:after="0" w:line="324" w:lineRule="auto"/>
        <w:rPr>
          <w:sz w:val="20"/>
          <w:szCs w:val="20"/>
          <w:color w:val="auto"/>
        </w:rPr>
      </w:pPr>
      <w:r>
        <w:rPr>
          <w:rFonts w:ascii="Times New Roman" w:cs="Times New Roman" w:eastAsia="Times New Roman" w:hAnsi="Times New Roman"/>
          <w:sz w:val="20"/>
          <w:szCs w:val="20"/>
          <w:color w:val="auto"/>
        </w:rPr>
        <w:t>At quarter end 105.9 million shares were issued and outstanding, which is largely unchanged from December 31, 2025. This consisted of 82.2 million common shares and 23.7 million exchangeable shares, the latter exchangeable into common shares on a one-for-one basis at the option of the holder.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Conference Call and Webcast</w:t>
      </w:r>
    </w:p>
    <w:p>
      <w:pPr>
        <w:spacing w:after="0" w:line="179" w:lineRule="exact"/>
        <w:rPr>
          <w:sz w:val="20"/>
          <w:szCs w:val="20"/>
          <w:color w:val="auto"/>
        </w:rPr>
      </w:pPr>
    </w:p>
    <w:p>
      <w:pPr>
        <w:jc w:val="both"/>
        <w:ind w:left="60" w:right="59"/>
        <w:spacing w:after="0" w:line="330" w:lineRule="auto"/>
        <w:rPr>
          <w:sz w:val="20"/>
          <w:szCs w:val="20"/>
          <w:color w:val="auto"/>
        </w:rPr>
      </w:pPr>
      <w:r>
        <w:rPr>
          <w:rFonts w:ascii="Times New Roman" w:cs="Times New Roman" w:eastAsia="Times New Roman" w:hAnsi="Times New Roman"/>
          <w:sz w:val="19"/>
          <w:szCs w:val="19"/>
          <w:color w:val="auto"/>
        </w:rPr>
        <w:t>Terrestrial Energy will host a conference call today at 8:30 a.m. Eastern Time to discuss the Company’s financial results. The live webcast of the conference call and accompanying presentation materials can be accessed through Terrestrial Energy’s website at ir.terrestrialenergy.com. For those unable to access the webcast, the conference call can be accessed by dialing (877) 407-4019 (domestic) or +1 (201) 689-8337 (international) and requesting the Terrestrial Energy First-Quarter 2026 Earnings Conference Call. For those unable to listen to the live conference call, a replay will be available after the call through the archived webcast in the Events section of Terrestrial Energy’s investor relations website or by dialing (877) 660-6853 or (201) 612-7415. The access code for the replay is 13760489. The replay will be available until 11:59 PM ET on May 28, 2026.</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Conference Participation</w:t>
      </w:r>
    </w:p>
    <w:p>
      <w:pPr>
        <w:spacing w:after="0" w:line="220" w:lineRule="exact"/>
        <w:rPr>
          <w:sz w:val="20"/>
          <w:szCs w:val="20"/>
          <w:color w:val="auto"/>
        </w:rPr>
      </w:pPr>
    </w:p>
    <w:p>
      <w:pPr>
        <w:jc w:val="both"/>
        <w:ind w:left="60" w:right="59"/>
        <w:spacing w:after="0" w:line="310" w:lineRule="auto"/>
        <w:rPr>
          <w:sz w:val="20"/>
          <w:szCs w:val="20"/>
          <w:color w:val="auto"/>
        </w:rPr>
      </w:pPr>
      <w:r>
        <w:rPr>
          <w:rFonts w:ascii="Times New Roman" w:cs="Times New Roman" w:eastAsia="Times New Roman" w:hAnsi="Times New Roman"/>
          <w:sz w:val="20"/>
          <w:szCs w:val="20"/>
          <w:color w:val="auto"/>
        </w:rPr>
        <w:t>In addition to its first quarter 2026 results, Terrestrial Energy today announced that management will participate in the 2026 RBC Capital Markets Global Energy, Power, and Infrastructure Conference being held Tuesday, June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20"/>
          <w:szCs w:val="20"/>
          <w:color w:val="auto"/>
        </w:rPr>
        <w:t xml:space="preserve"> to Wednesday, June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20"/>
          <w:szCs w:val="20"/>
          <w:color w:val="auto"/>
        </w:rPr>
        <w:t xml:space="preserve"> at the Westin New York Grand Central in New York, NY.</w:t>
      </w:r>
    </w:p>
    <w:p>
      <w:pPr>
        <w:spacing w:after="0" w:line="1" w:lineRule="exact"/>
        <w:rPr>
          <w:sz w:val="20"/>
          <w:szCs w:val="20"/>
          <w:color w:val="auto"/>
        </w:rPr>
      </w:pPr>
    </w:p>
    <w:p>
      <w:pPr>
        <w:jc w:val="both"/>
        <w:ind w:left="60" w:right="79"/>
        <w:spacing w:after="0" w:line="310" w:lineRule="auto"/>
        <w:rPr>
          <w:sz w:val="20"/>
          <w:szCs w:val="20"/>
          <w:color w:val="auto"/>
        </w:rPr>
      </w:pPr>
      <w:r>
        <w:rPr>
          <w:rFonts w:ascii="Times New Roman" w:cs="Times New Roman" w:eastAsia="Times New Roman" w:hAnsi="Times New Roman"/>
          <w:sz w:val="20"/>
          <w:szCs w:val="20"/>
          <w:color w:val="auto"/>
        </w:rPr>
        <w:t>Terrestrial Energy’s Chief Executive Officer, Simon Irish, will be available for one-on-one meetings with investors during the event. In addition, he will participate in a panel discussion on the Nuclear Renaissance on Wednesday, June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20"/>
          <w:szCs w:val="20"/>
          <w:color w:val="auto"/>
        </w:rPr>
        <w:t xml:space="preserve"> at 1:20pm ET.</w:t>
      </w:r>
    </w:p>
    <w:p>
      <w:pPr>
        <w:spacing w:after="0" w:line="1" w:lineRule="exact"/>
        <w:rPr>
          <w:sz w:val="20"/>
          <w:szCs w:val="20"/>
          <w:color w:val="auto"/>
        </w:rPr>
      </w:pPr>
    </w:p>
    <w:p>
      <w:pPr>
        <w:jc w:val="both"/>
        <w:ind w:left="60" w:right="79"/>
        <w:spacing w:after="0" w:line="339" w:lineRule="auto"/>
        <w:rPr>
          <w:sz w:val="20"/>
          <w:szCs w:val="20"/>
          <w:color w:val="auto"/>
        </w:rPr>
      </w:pPr>
      <w:r>
        <w:rPr>
          <w:rFonts w:ascii="Times New Roman" w:cs="Times New Roman" w:eastAsia="Times New Roman" w:hAnsi="Times New Roman"/>
          <w:sz w:val="20"/>
          <w:szCs w:val="20"/>
          <w:color w:val="auto"/>
        </w:rPr>
        <w:t>To schedule a one-on-one meeting with Terrestrial Energy’s management team, please contact Investor Relations at investor@terrestrialenergy.com.</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20"/>
          <w:szCs w:val="20"/>
          <w:b w:val="1"/>
          <w:bCs w:val="1"/>
          <w:color w:val="auto"/>
        </w:rPr>
        <w:t>About Terrestrial Energy</w:t>
      </w:r>
    </w:p>
    <w:p>
      <w:pPr>
        <w:spacing w:after="0" w:line="179" w:lineRule="exact"/>
        <w:rPr>
          <w:sz w:val="20"/>
          <w:szCs w:val="20"/>
          <w:color w:val="auto"/>
        </w:rPr>
      </w:pPr>
    </w:p>
    <w:p>
      <w:pPr>
        <w:jc w:val="both"/>
        <w:ind w:left="60" w:right="59"/>
        <w:spacing w:after="0" w:line="327" w:lineRule="auto"/>
        <w:rPr>
          <w:sz w:val="20"/>
          <w:szCs w:val="20"/>
          <w:color w:val="auto"/>
        </w:rPr>
      </w:pPr>
      <w:r>
        <w:rPr>
          <w:rFonts w:ascii="Times New Roman" w:cs="Times New Roman" w:eastAsia="Times New Roman" w:hAnsi="Times New Roman"/>
          <w:sz w:val="19"/>
          <w:szCs w:val="19"/>
          <w:color w:val="auto"/>
        </w:rPr>
        <w:t>Terrestrial Energy is a developer of Generation IV nuclear plants that use its proprietary Integral Molten Salt Reactor (IMSR). The IMSR captures the transformative operating benefits of molten salt reactor technology in a plant design that represents true innovation in capital efficiency, cost reduction, versatility and functionality of nuclear energy supply. IMSR plants are designed to be small and modular for distributed supply of low-cost, reliable, dispatchable, clean, high-temperature industrial heat and electricity, and to be customized for a dual-use energy role relevant to many industrial applications, such as petrochemical and chemical synthesis, and data center operation. In so doing, IMSR plants extend the application of nuclear energy far beyond electric power markets. Their deployment will support the rapid growth of clean firm heat and power, delivering energy self-reliance, grid reliability and economic growth. Terrestrial Energy uses an innovative plant design together with proven and demonstrated molten salt reactor technology and readily-available and inexpensive standard-assay low-enriched uranium in its fuel for a nuclear plant with a unique set of operating characteristics and compelling transformative commercial potential. Terrestrial Energy is engaged with regulators, suppliers, industrial partners and energy end-users to build, license and commission the first IMSR plants in the early 2030s.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20"/>
          <w:szCs w:val="20"/>
          <w:color w:val="auto"/>
        </w:rPr>
        <w:t>The statements contained in this press release that are not purely historical are forward-looking statements. These forward-looking statements include, but are not limited to, statements regarding our expectations, milestones,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19" w:lineRule="exact"/>
        <w:rPr>
          <w:sz w:val="20"/>
          <w:szCs w:val="20"/>
          <w:color w:val="auto"/>
        </w:rPr>
      </w:pPr>
    </w:p>
    <w:p>
      <w:pPr>
        <w:jc w:val="both"/>
        <w:ind w:left="60" w:right="59"/>
        <w:spacing w:after="0" w:line="310" w:lineRule="auto"/>
        <w:rPr>
          <w:sz w:val="20"/>
          <w:szCs w:val="20"/>
          <w:color w:val="auto"/>
        </w:rPr>
      </w:pPr>
      <w:r>
        <w:rPr>
          <w:rFonts w:ascii="Times New Roman" w:cs="Times New Roman" w:eastAsia="Times New Roman" w:hAnsi="Times New Roman"/>
          <w:sz w:val="20"/>
          <w:szCs w:val="20"/>
          <w:color w:val="auto"/>
        </w:rPr>
        <w:t>The forward-looking statements contained in this press release are based on our current expectations and beliefs concerning future developments and their potential effects on the Company. There can be no assurance that future developments affecting the Company will be those that we have anticipated. These forward-looking statements speak only as of the date of this press release and involve a number of risks, uncertainties (some of which are beyond our control) or other assumptions that may cause actual results or performance to differ materially from those expressed or implied by these forward-looking statements. Factors that may cause actual results to differ materially from current expectations include, but are not limited to: (1) risks related to the development, manufacturing and construction of IMSR Plants and key components, including potential delays, cost overruns and contractor performance issues; (2) the Company’s ability to obtain applicable regulatory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7" w:name="page8"/>
    <w:bookmarkEnd w:id="7"/>
    <w:p>
      <w:pPr>
        <w:jc w:val="both"/>
        <w:ind w:left="60" w:right="59"/>
        <w:spacing w:after="0" w:line="310" w:lineRule="auto"/>
        <w:rPr>
          <w:sz w:val="20"/>
          <w:szCs w:val="20"/>
          <w:color w:val="auto"/>
        </w:rPr>
      </w:pPr>
      <w:r>
        <w:rPr>
          <w:rFonts w:ascii="Times New Roman" w:cs="Times New Roman" w:eastAsia="Times New Roman" w:hAnsi="Times New Roman"/>
          <w:sz w:val="20"/>
          <w:szCs w:val="20"/>
          <w:color w:val="auto"/>
        </w:rPr>
        <w:t>approvals and licenses on a timely basis or at all; (3) the ability of management to manage growth; (4) the possibility that the Company may be adversely affected by other economic, business, and/or competitive factors, including from alternative energy technologies, energy price volatility, and competition from other advanced reactor developers; (5) potential supply chain constraints and cost inflation for specialized nuclear-grade materials and components; (6) any failure to comply with the laws and regulations governing the use, transportation, and disposal of toxic, hazardous and/or radioactive materials; (7) changes in domestic and foreign business, market, financial and political conditions, and in applicable laws and regulations, including tariffs; (8) the ability to raise additional funding in the future; (9) the outcome of any legal proceedings that may be instituted against the Company; and (10) other risk factors described herein as well as the risk factors and uncertainties described in the documents filed by the Company from time to time with the U.S. Securities and Exchange Commission (the “SEC”).</w:t>
      </w:r>
    </w:p>
    <w:p>
      <w:pPr>
        <w:spacing w:after="0" w:line="121" w:lineRule="exact"/>
        <w:rPr>
          <w:sz w:val="20"/>
          <w:szCs w:val="20"/>
          <w:color w:val="auto"/>
        </w:rPr>
      </w:pPr>
    </w:p>
    <w:p>
      <w:pPr>
        <w:jc w:val="both"/>
        <w:ind w:left="60" w:right="59"/>
        <w:spacing w:after="0" w:line="310" w:lineRule="auto"/>
        <w:rPr>
          <w:sz w:val="20"/>
          <w:szCs w:val="20"/>
          <w:color w:val="auto"/>
        </w:rPr>
      </w:pPr>
      <w:r>
        <w:rPr>
          <w:rFonts w:ascii="Times New Roman" w:cs="Times New Roman" w:eastAsia="Times New Roman" w:hAnsi="Times New Roman"/>
          <w:sz w:val="20"/>
          <w:szCs w:val="20"/>
          <w:color w:val="auto"/>
        </w:rPr>
        <w:t>The foregoing list of risk factors is not exhaustive. You should carefully consider the foregoing risk factors and the other risks and uncertainties described in the documents filed by the Company from time to time with the SEC. In addition, there may be additional risks that the Company presently knows, or that it currently believes are immaterial, that could also cause actual results to differ from those contained in the forward-looking statements. Nothing in this communication should be regarded as a representation or warranty, either express or implied,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w:t>
      </w:r>
    </w:p>
    <w:p>
      <w:pPr>
        <w:spacing w:after="0" w:line="121" w:lineRule="exact"/>
        <w:rPr>
          <w:sz w:val="20"/>
          <w:szCs w:val="20"/>
          <w:color w:val="auto"/>
        </w:rPr>
      </w:pPr>
    </w:p>
    <w:p>
      <w:pPr>
        <w:jc w:val="both"/>
        <w:ind w:left="60" w:right="59"/>
        <w:spacing w:after="0" w:line="313" w:lineRule="auto"/>
        <w:rPr>
          <w:sz w:val="20"/>
          <w:szCs w:val="20"/>
          <w:color w:val="auto"/>
        </w:rPr>
      </w:pPr>
      <w:r>
        <w:rPr>
          <w:rFonts w:ascii="Times New Roman" w:cs="Times New Roman" w:eastAsia="Times New Roman" w:hAnsi="Times New Roman"/>
          <w:sz w:val="20"/>
          <w:szCs w:val="20"/>
          <w:color w:val="auto"/>
        </w:rPr>
        <w:t>In addition, the information contained in this press release is provided as of the date hereof and may change, and the Company and its representatives and affiliates specifically disclaim any obligation to, and do not intend to, update or revise any forward-looking statements, whether as a result of new information, inaccuracies, future events or otherwise, except as may be required under applicable securities laws. Information contained on our website is not a part of or incorporated into this press release.</w:t>
      </w: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Terrestrial Energy Investor Center:</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https://www.terrestrialenergy.com/investors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Terrestrial Energy Media &amp; Contact: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investor@terrestrialenergy.com</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media@terrestrialenergy.com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8" w:name="page9"/>
    <w:bookmarkEnd w:id="8"/>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Terrestrial Energy Inc.</w:t>
      </w:r>
    </w:p>
    <w:p>
      <w:pPr>
        <w:spacing w:after="0" w:line="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ind w:right="-640"/>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data)</w:t>
      </w:r>
    </w:p>
    <w:p>
      <w:pPr>
        <w:jc w:val="center"/>
        <w:ind w:right="-64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Unaudited)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31,  ​​​</w:t>
            </w:r>
          </w:p>
        </w:tc>
      </w:tr>
      <w:tr>
        <w:trPr>
          <w:trHeight w:val="173"/>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assets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97,164</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200,626</w:t>
            </w:r>
          </w:p>
        </w:tc>
        <w:tc>
          <w:tcPr>
            <w:tcW w:w="180" w:type="dxa"/>
            <w:vAlign w:val="bottom"/>
          </w:tcPr>
          <w:p>
            <w:pPr>
              <w:spacing w:after="0"/>
              <w:rPr>
                <w:sz w:val="17"/>
                <w:szCs w:val="17"/>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299,559</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Borders>
              <w:bottom w:val="single" w:sz="8" w:color="CCEEFF"/>
            </w:tcBorders>
          </w:tcPr>
          <w:p>
            <w:pPr>
              <w:spacing w:after="0"/>
              <w:rPr>
                <w:sz w:val="17"/>
                <w:szCs w:val="17"/>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EQUITY</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liabilities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 (Note 10)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$0.0001 par value; 500,000,000 authorized shares; 82,242,434 and 81,771,422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March 31, 2026 and December 31, 2025, respectively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8"/>
                <w:szCs w:val="18"/>
                <w:color w:val="auto"/>
              </w:rPr>
            </w:pPr>
          </w:p>
        </w:tc>
      </w:tr>
      <w:tr>
        <w:trPr>
          <w:trHeight w:val="189"/>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Exchangeable shares, $0.0001 par value; 23,692,820 and 24,011,017 shares issued and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r>
      <w:tr>
        <w:trPr>
          <w:trHeight w:val="20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418,815</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(124,625)</w:t>
            </w:r>
          </w:p>
        </w:tc>
      </w:tr>
      <w:tr>
        <w:trPr>
          <w:trHeight w:val="20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288,596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295,406</w:t>
            </w:r>
          </w:p>
        </w:tc>
        <w:tc>
          <w:tcPr>
            <w:tcW w:w="180" w:type="dxa"/>
            <w:vAlign w:val="bottom"/>
            <w:tcBorders>
              <w:bottom w:val="single" w:sz="8" w:color="CCEEFF"/>
            </w:tcBorders>
          </w:tcPr>
          <w:p>
            <w:pPr>
              <w:spacing w:after="0"/>
              <w:rPr>
                <w:sz w:val="17"/>
                <w:szCs w:val="17"/>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302,980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4" w:right="1440" w:bottom="1440" w:gutter="0" w:footer="0" w:header="0"/>
        </w:sectPr>
      </w:pPr>
    </w:p>
    <w:bookmarkStart w:id="9" w:name="page10"/>
    <w:bookmarkEnd w:id="9"/>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Terrestrial Energy Inc.</w:t>
      </w:r>
    </w:p>
    <w:p>
      <w:pPr>
        <w:spacing w:after="0" w:line="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and Comprehensive Loss</w:t>
      </w:r>
    </w:p>
    <w:p>
      <w:pPr>
        <w:jc w:val="center"/>
        <w:ind w:right="-640"/>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data)</w:t>
      </w:r>
    </w:p>
    <w:p>
      <w:pPr>
        <w:jc w:val="center"/>
        <w:ind w:right="-640"/>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grants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loss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Shares Outstanding, Basic and diluted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105,861,986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63,170,918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 on short-term and long-term investments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4" w:right="1440" w:bottom="1440" w:gutter="0" w:footer="0" w:header="0"/>
        </w:sectPr>
      </w:pPr>
    </w:p>
    <w:bookmarkStart w:id="10" w:name="page11"/>
    <w:bookmarkEnd w:id="10"/>
    <w:p>
      <w:pPr>
        <w:jc w:val="center"/>
        <w:ind w:right="-659"/>
        <w:spacing w:after="0"/>
        <w:rPr>
          <w:sz w:val="20"/>
          <w:szCs w:val="20"/>
          <w:color w:val="auto"/>
        </w:rPr>
      </w:pPr>
      <w:r>
        <w:rPr>
          <w:rFonts w:ascii="Times New Roman" w:cs="Times New Roman" w:eastAsia="Times New Roman" w:hAnsi="Times New Roman"/>
          <w:sz w:val="20"/>
          <w:szCs w:val="20"/>
          <w:b w:val="1"/>
          <w:bCs w:val="1"/>
          <w:color w:val="auto"/>
        </w:rPr>
        <w:t>Terrestrial Energy Inc.</w:t>
      </w:r>
    </w:p>
    <w:p>
      <w:pPr>
        <w:spacing w:after="0" w:line="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 Equity (Deficit)</w:t>
      </w:r>
    </w:p>
    <w:p>
      <w:pPr>
        <w:jc w:val="center"/>
        <w:ind w:right="-659"/>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data)</w:t>
      </w:r>
    </w:p>
    <w:p>
      <w:pPr>
        <w:jc w:val="center"/>
        <w:ind w:right="-659"/>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gridSpan w:val="2"/>
          </w:tcPr>
          <w:p>
            <w:pPr>
              <w:jc w:val="right"/>
              <w:ind w:right="649"/>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629"/>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240" w:type="dxa"/>
            <w:vAlign w:val="bottom"/>
          </w:tcPr>
          <w:p>
            <w:pPr>
              <w:spacing w:after="0"/>
              <w:rPr>
                <w:sz w:val="14"/>
                <w:szCs w:val="14"/>
                <w:color w:val="auto"/>
              </w:rPr>
            </w:pPr>
          </w:p>
        </w:tc>
        <w:tc>
          <w:tcPr>
            <w:tcW w:w="5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680" w:type="dxa"/>
            <w:vAlign w:val="bottom"/>
          </w:tcPr>
          <w:p>
            <w:pPr>
              <w:jc w:val="right"/>
              <w:ind w:right="8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58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2026</w:t>
            </w:r>
          </w:p>
        </w:tc>
        <w:tc>
          <w:tcPr>
            <w:tcW w:w="180" w:type="dxa"/>
            <w:vAlign w:val="bottom"/>
            <w:tcBorders>
              <w:righ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1"/>
              </w:rPr>
              <w:t>81,771,422</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24,011,017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Borders>
              <w:right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$418,815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upon exercise of options</w:t>
            </w:r>
          </w:p>
        </w:tc>
        <w:tc>
          <w:tcPr>
            <w:tcW w:w="860" w:type="dxa"/>
            <w:vAlign w:val="bottom"/>
            <w:tcBorders>
              <w:right w:val="single" w:sz="8" w:color="CCEEFF"/>
            </w:tcBorders>
            <w:gridSpan w:val="2"/>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140,815</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exchangeable shares to</w:t>
            </w:r>
          </w:p>
        </w:tc>
        <w:tc>
          <w:tcPr>
            <w:tcW w:w="8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318,197</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(318,197)</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for private placement</w:t>
            </w:r>
          </w:p>
        </w:tc>
        <w:tc>
          <w:tcPr>
            <w:tcW w:w="860" w:type="dxa"/>
            <w:vAlign w:val="bottom"/>
            <w:tcBorders>
              <w:right w:val="single" w:sz="8" w:color="CCEEFF"/>
            </w:tcBorders>
            <w:gridSpan w:val="2"/>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180" w:type="dxa"/>
            <w:vAlign w:val="bottom"/>
          </w:tcPr>
          <w:p>
            <w:pPr>
              <w:spacing w:after="0"/>
              <w:rPr>
                <w:sz w:val="12"/>
                <w:szCs w:val="12"/>
                <w:color w:val="auto"/>
              </w:rPr>
            </w:pPr>
          </w:p>
        </w:tc>
        <w:tc>
          <w:tcPr>
            <w:tcW w:w="6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 gains on short-term and</w:t>
            </w:r>
          </w:p>
        </w:tc>
        <w:tc>
          <w:tcPr>
            <w:tcW w:w="180" w:type="dxa"/>
            <w:vAlign w:val="bottom"/>
            <w:tcBorders>
              <w:right w:val="single" w:sz="8" w:color="CCEEFF"/>
            </w:tcBorders>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180" w:type="dxa"/>
            <w:vAlign w:val="bottom"/>
            <w:tcBorders>
              <w:righ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1"/>
              </w:rPr>
              <w:t>82,242,434</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23,692,820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Borders>
              <w:right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$421,734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gridSpan w:val="2"/>
          </w:tcPr>
          <w:p>
            <w:pPr>
              <w:jc w:val="right"/>
              <w:ind w:right="609"/>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609"/>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Accumulated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240" w:type="dxa"/>
            <w:vAlign w:val="bottom"/>
          </w:tcPr>
          <w:p>
            <w:pPr>
              <w:spacing w:after="0"/>
              <w:rPr>
                <w:sz w:val="14"/>
                <w:szCs w:val="14"/>
                <w:color w:val="auto"/>
              </w:rPr>
            </w:pPr>
          </w:p>
        </w:tc>
        <w:tc>
          <w:tcPr>
            <w:tcW w:w="5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68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58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8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2025, as recast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39,159,901</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24,011,017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82,774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warrants in connection with</w:t>
            </w:r>
          </w:p>
        </w:tc>
        <w:tc>
          <w:tcPr>
            <w:tcW w:w="180" w:type="dxa"/>
            <w:vAlign w:val="bottom"/>
            <w:tcBorders>
              <w:right w:val="single" w:sz="8" w:color="CCEEFF"/>
            </w:tcBorders>
            <w:shd w:val="clear" w:color="auto" w:fill="CCEEFF"/>
          </w:tcPr>
          <w:p>
            <w:pPr>
              <w:spacing w:after="0"/>
              <w:rPr>
                <w:sz w:val="10"/>
                <w:szCs w:val="10"/>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right w:val="single" w:sz="8" w:color="CCEEFF"/>
            </w:tcBorders>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2,595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 net of tax</w:t>
            </w: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bottom w:val="single" w:sz="8" w:color="auto"/>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CCEEFF"/>
            </w:tcBorders>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w:t>
            </w:r>
          </w:p>
        </w:tc>
        <w:tc>
          <w:tcPr>
            <w:tcW w:w="0" w:type="dxa"/>
            <w:vAlign w:val="bottom"/>
          </w:tcPr>
          <w:p>
            <w:pPr>
              <w:spacing w:after="0"/>
              <w:rPr>
                <w:sz w:val="1"/>
                <w:szCs w:val="1"/>
                <w:color w:val="auto"/>
              </w:rPr>
            </w:pPr>
          </w:p>
        </w:tc>
      </w:tr>
      <w:tr>
        <w:trPr>
          <w:trHeight w:val="29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39,159,901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24,011,017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85,549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0" w:hanging="150"/>
        <w:spacing w:after="0"/>
        <w:tabs>
          <w:tab w:leader="none" w:pos="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12529"/>
        </w:rPr>
        <w:t>Share amounts have been retroactively restated to give effect to the Business Combination</w:t>
      </w:r>
      <w:r>
        <w:rPr>
          <w:rFonts w:ascii="Times New Roman" w:cs="Times New Roman" w:eastAsia="Times New Roman" w:hAnsi="Times New Roman"/>
          <w:sz w:val="20"/>
          <w:szCs w:val="20"/>
          <w:color w:val="000000"/>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90" w:lineRule="exact"/>
        <w:rPr>
          <w:rFonts w:ascii="Times New Roman" w:cs="Times New Roman" w:eastAsia="Times New Roman" w:hAnsi="Times New Roman"/>
          <w:sz w:val="20"/>
          <w:szCs w:val="20"/>
          <w:color w:val="auto"/>
        </w:rPr>
      </w:pPr>
    </w:p>
    <w:p>
      <w:pPr>
        <w:ind w:left="4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356870</wp:posOffset>
            </wp:positionV>
            <wp:extent cx="5983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734" w:right="1239" w:bottom="1440" w:gutter="0" w:footer="0" w:header="0"/>
        </w:sectPr>
      </w:pPr>
    </w:p>
    <w:bookmarkStart w:id="11" w:name="page12"/>
    <w:bookmarkEnd w:id="11"/>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Terrestrial Energy Inc.</w:t>
      </w:r>
    </w:p>
    <w:p>
      <w:pPr>
        <w:spacing w:after="0" w:line="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ind w:right="-640"/>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jc w:val="center"/>
        <w:ind w:right="-640"/>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accretion of discount on investments,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transaction gain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 - related party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redemptions of investments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 – related parties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exercise of stock options for common shares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 during the period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warrants in connection with convertible notes, net of tax</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obtained in exchange for operating lease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7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2026-05-14T06:47:24Z</dcterms:created>
  <dcterms:modified xsi:type="dcterms:W3CDTF">2026-05-14T06:47:24Z</dcterms:modified>
</cp:coreProperties>
</file>