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May 19,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630237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2375"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122555</wp:posOffset>
            </wp:positionV>
            <wp:extent cx="6302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2375" cy="825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63500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6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2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63500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TERRESTRIAL ENERGY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jc w:val="right"/>
              <w:ind w:right="1891"/>
              <w:spacing w:after="0"/>
              <w:rPr>
                <w:sz w:val="20"/>
                <w:szCs w:val="20"/>
                <w:color w:val="auto"/>
              </w:rPr>
            </w:pPr>
            <w:r>
              <w:rPr>
                <w:rFonts w:ascii="Times New Roman" w:cs="Times New Roman" w:eastAsia="Times New Roman" w:hAnsi="Times New Roman"/>
                <w:sz w:val="18"/>
                <w:szCs w:val="18"/>
                <w:b w:val="1"/>
                <w:bCs w:val="1"/>
                <w:color w:val="auto"/>
              </w:rPr>
              <w:t>98-1785406</w:t>
            </w:r>
          </w:p>
        </w:tc>
      </w:tr>
      <w:tr>
        <w:trPr>
          <w:trHeight w:val="189"/>
        </w:trPr>
        <w:tc>
          <w:tcPr>
            <w:tcW w:w="4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 w:type="dxa"/>
            <w:vAlign w:val="bottom"/>
          </w:tcPr>
          <w:p>
            <w:pPr>
              <w:spacing w:after="0"/>
              <w:rPr>
                <w:sz w:val="16"/>
                <w:szCs w:val="16"/>
                <w:color w:val="auto"/>
              </w:rPr>
            </w:pPr>
          </w:p>
        </w:tc>
        <w:tc>
          <w:tcPr>
            <w:tcW w:w="4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2730 W. Tyvola Road, Suite 10,</w:t>
            </w:r>
          </w:p>
        </w:tc>
        <w:tc>
          <w:tcPr>
            <w:tcW w:w="3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36"/>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Charlotte, NC</w:t>
            </w:r>
          </w:p>
        </w:tc>
        <w:tc>
          <w:tcPr>
            <w:tcW w:w="300" w:type="dxa"/>
            <w:vAlign w:val="bottom"/>
          </w:tcPr>
          <w:p>
            <w:pPr>
              <w:spacing w:after="0"/>
              <w:rPr>
                <w:sz w:val="20"/>
                <w:szCs w:val="20"/>
                <w:color w:val="auto"/>
              </w:rPr>
            </w:pPr>
          </w:p>
        </w:tc>
        <w:tc>
          <w:tcPr>
            <w:tcW w:w="4820" w:type="dxa"/>
            <w:vAlign w:val="bottom"/>
            <w:tcBorders>
              <w:bottom w:val="single" w:sz="8" w:color="auto"/>
            </w:tcBorders>
          </w:tcPr>
          <w:p>
            <w:pPr>
              <w:jc w:val="right"/>
              <w:ind w:right="2091"/>
              <w:spacing w:after="0"/>
              <w:rPr>
                <w:sz w:val="20"/>
                <w:szCs w:val="20"/>
                <w:color w:val="auto"/>
              </w:rPr>
            </w:pPr>
            <w:r>
              <w:rPr>
                <w:rFonts w:ascii="Times New Roman" w:cs="Times New Roman" w:eastAsia="Times New Roman" w:hAnsi="Times New Roman"/>
                <w:sz w:val="18"/>
                <w:szCs w:val="18"/>
                <w:b w:val="1"/>
                <w:bCs w:val="1"/>
                <w:color w:val="auto"/>
              </w:rPr>
              <w:t>28217</w:t>
            </w:r>
          </w:p>
        </w:tc>
      </w:tr>
      <w:tr>
        <w:trPr>
          <w:trHeight w:val="226"/>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9"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Terrestrial Energy Inc. Second Amended and Restated 2024 Stock Option Plan Terrestrial Energy Inc. 2025 Equity Incentive Plan Individual Restricted Stock Award Agreement</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75565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Millsap</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Secretary and Chief Compliance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2730 W. Tyvola Road, Suite 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NC 28217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71755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687-8212</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71755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M. Jones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Coleman Wombwell</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South Tryon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NC 28202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331-7400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71755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8" w:lineRule="exact"/>
        <w:rPr>
          <w:sz w:val="24"/>
          <w:szCs w:val="24"/>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520" w:type="dxa"/>
            <w:vAlign w:val="bottom"/>
            <w:vMerge w:val="restart"/>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9"/>
        </w:trPr>
        <w:tc>
          <w:tcPr>
            <w:tcW w:w="28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vMerge w:val="continue"/>
          </w:tcPr>
          <w:p>
            <w:pPr>
              <w:spacing w:after="0"/>
              <w:rPr>
                <w:sz w:val="15"/>
                <w:szCs w:val="15"/>
                <w:color w:val="auto"/>
              </w:rPr>
            </w:pPr>
          </w:p>
        </w:tc>
        <w:tc>
          <w:tcPr>
            <w:tcW w:w="3700" w:type="dxa"/>
            <w:vAlign w:val="bottom"/>
          </w:tcPr>
          <w:p>
            <w:pPr>
              <w:ind w:left="260"/>
              <w:spacing w:after="0" w:line="179" w:lineRule="exact"/>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firstLine="64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448310</wp:posOffset>
            </wp:positionV>
            <wp:extent cx="630237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2375" cy="25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24130</wp:posOffset>
            </wp:positionV>
            <wp:extent cx="6302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23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66675</wp:posOffset>
            </wp:positionV>
            <wp:extent cx="630237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2375" cy="33655"/>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Terrestrial Energy Inc. (the “Company” or the “Registrant”) has filed with the Securities and Exchange Commission (the “Commission”) this registration statement on Form S-8 (this “Registration Statement”) to register under the Securities Act of 1933, as amended (the “Securities Act”), the resale of (i) 10,550,601shares of common stock, par value $0.0001 per share (the “common stock”), underlying options that were issued under the Terrestrial Energy Inc. Second Amended and Restated 2024 Stock Option Plan (the “2024 Plan”) assumed by the Company pursuant to that certain Business Combination Agreement, dated as of March 26, 2025 (the “Business Combination Agreement”); (ii) 209,633 shares of common stock underlying equity awards granted under the Terrestrial Energy Inc. 2025 Equity Incentive Plan (the “2025 Plan”); and (iii) 1,023,161 shares of common stock underlying restricted stock units issued to the Company’s Chief Executive Officer under an individual restricted stock unit award agreement (the “RSU Agreement” and together with the 2024 Plan and the 2025 Plan, the “Plans”). The shares registered for resale hereunder are referred to as the “Shares”.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some or all of the Shares that constitute “restricted securities” and/or “control securities” within the meaning of the Securities Act of 1933, as amended (the “Securities Act”), and Instruction C of the General Instructions to Form S-8, by certain stockholders that are current directors and officers of the Registrant (the “Selling Stockholders”) for their own accounts.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of the Selling Stockholders may be ineligible to sell their Shares prior to the expiration of the lock-up agreements that they have entered into in connection with the transactions contemplated by the Business Combination Agreement as described in the section titled “Plan of Distribution – Lock-Up Agreements” in the reoffer prospectus included below. Subject to such lock-up agreements, the Selling Stockholders may sell any, all, or none of the Shares, and we do not know when or in what amount the Selling Stockholders may sell their Shares, if they were to sell any, hereunder following the effective date of this registration statement. As and to the extent specified in General Instruction C of Form S-8, the amount of securities to be reoffered or resold under the reoffer prospectus by each Selling Stockholder and any other person with whom he, she or it is acting in concert for the purpose of selling the Registrant’s securities, may not exceed, during any three-month period, the amount specified in Rule 144(e)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603885</wp:posOffset>
            </wp:positionV>
            <wp:extent cx="63023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237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128905</wp:posOffset>
            </wp:positionV>
            <wp:extent cx="1450340" cy="492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034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11,783,395 SHARES OF COMMON STOCK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relates to 11,783,395 shares common stock, par value $0.0001 per share, (the “Shares”), of Terrestrial Energy Inc., a Delaware corporation (“us,” “we,” “Terrestrial Energy,” or the “Company”), that may be offered from time to time by certain stockholders that are our current directors and officers (the “Selling Stockholders”) for their own accounts. We will not receive any of the proceeds from the sale of Shares by the Selling Stockholders made hereunder. The Shares were or will be acquired by the Selling Stockholders pursuant to the Terrestrial Energy Inc. Second Amended and Restated 2024 Stock Option Plan (the “2024 Plan”), the Terrestrial Energy Inc. 2025 Equity Incentive Plan (the “2025 Plan”), or an individual restricted stock unit award agreement.</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Selling Stockholders may sell the securities described in this prospectus in a number of different ways and at varying prices, including sales in the open market, sales in negotiated transactions and sales by a combination of these methods. Certain of the Selling Stockholders may be eligible to sell their Shares prior to the expiration of the lock-up agreements that they have entered into in connection with the transactions contemplated by the Business Combination Agreement, pursuant to release provisions in such lock-up agreements as described in the section titled “Lock-Up Agreements” in our registration statement on Form S-4, initially filed with the Securities and Exchange Commission on July 17, 2025 and as amended from time to time thereafter (File No. 333-288735). Subject to such lock-up agreements, the Selling Stockholders may sell any, all, or none of the Shares, and we do not know when or in what amount the Selling Stockholders may sell their Shares, if they were to sell any,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our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“IMSR.” On May 15, 2026, the last reported sale price of our common stock, was $7.30 per share.</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and to the amount specified in General Instruction C of Form S-8, the amount of securities to be offered or resold under this reoffer prospectus by each Selling Stockholder or other person with whom he, she or it is acting in concert for the purpose of selling our securities, may not exceed, during any three-month period, the amount specified in Rule 144(e) under the Securities Act.</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will be subject to reduced disclosure and public reporting requirements. See “</w:t>
      </w:r>
      <w:r>
        <w:rPr>
          <w:rFonts w:ascii="Times New Roman" w:cs="Times New Roman" w:eastAsia="Times New Roman" w:hAnsi="Times New Roman"/>
          <w:sz w:val="18"/>
          <w:szCs w:val="18"/>
          <w:i w:val="1"/>
          <w:iCs w:val="1"/>
          <w:color w:val="auto"/>
        </w:rPr>
        <w:t>The Company - Implications of Being an Emerging Growth Company and a Smaller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Company.</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Investing in shares of our securities involves risks that are described in the “Risk Factors” section beginning on page 9 of this prospectus.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493395</wp:posOffset>
            </wp:positionV>
            <wp:extent cx="63023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2375" cy="25400"/>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r>
      <w:tr>
        <w:trPr>
          <w:trHeight w:val="769"/>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r>
      <w:tr>
        <w:trPr>
          <w:trHeight w:val="427"/>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1"/>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THE COMPANY</w:t>
            </w:r>
          </w:p>
        </w:tc>
        <w:tc>
          <w:tcPr>
            <w:tcW w:w="80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194"/>
        </w:trPr>
        <w:tc>
          <w:tcPr>
            <w:tcW w:w="93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4"/>
        </w:trPr>
        <w:tc>
          <w:tcPr>
            <w:tcW w:w="57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CAUTIONARY NOTE REGARDING FORWARD-LOOKING STATEMENTS</w:t>
            </w:r>
          </w:p>
        </w:tc>
        <w:tc>
          <w:tcPr>
            <w:tcW w:w="3620" w:type="dxa"/>
            <w:vAlign w:val="bottom"/>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w:t>
            </w:r>
          </w:p>
        </w:tc>
      </w:tr>
      <w:tr>
        <w:trPr>
          <w:trHeight w:val="194"/>
        </w:trPr>
        <w:tc>
          <w:tcPr>
            <w:tcW w:w="158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780" w:type="dxa"/>
            <w:vAlign w:val="bottom"/>
            <w:gridSpan w:val="6"/>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w:t>
            </w:r>
          </w:p>
        </w:tc>
      </w:tr>
      <w:tr>
        <w:trPr>
          <w:trHeight w:val="194"/>
        </w:trPr>
        <w:tc>
          <w:tcPr>
            <w:tcW w:w="220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7160" w:type="dxa"/>
            <w:vAlign w:val="bottom"/>
            <w:gridSpan w:val="4"/>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w:t>
            </w:r>
          </w:p>
        </w:tc>
      </w:tr>
      <w:tr>
        <w:trPr>
          <w:trHeight w:val="194"/>
        </w:trPr>
        <w:tc>
          <w:tcPr>
            <w:tcW w:w="204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PLAN OF DISTRIBUTION</w:t>
            </w:r>
          </w:p>
        </w:tc>
        <w:tc>
          <w:tcPr>
            <w:tcW w:w="7320" w:type="dxa"/>
            <w:vAlign w:val="bottom"/>
            <w:gridSpan w:val="5"/>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13</w:t>
            </w:r>
          </w:p>
        </w:tc>
      </w:tr>
      <w:tr>
        <w:trPr>
          <w:trHeight w:val="194"/>
        </w:trPr>
        <w:tc>
          <w:tcPr>
            <w:tcW w:w="93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15</w:t>
            </w:r>
          </w:p>
        </w:tc>
      </w:tr>
      <w:tr>
        <w:trPr>
          <w:trHeight w:val="194"/>
        </w:trPr>
        <w:tc>
          <w:tcPr>
            <w:tcW w:w="1440" w:type="dxa"/>
            <w:vAlign w:val="bottom"/>
            <w:tcBorders>
              <w:top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7920" w:type="dxa"/>
            <w:vAlign w:val="bottom"/>
            <w:gridSpan w:val="7"/>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6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4"/>
        </w:trPr>
        <w:tc>
          <w:tcPr>
            <w:tcW w:w="93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15</w:t>
            </w:r>
          </w:p>
        </w:tc>
      </w:tr>
      <w:tr>
        <w:trPr>
          <w:trHeight w:val="194"/>
        </w:trPr>
        <w:tc>
          <w:tcPr>
            <w:tcW w:w="3980" w:type="dxa"/>
            <w:vAlign w:val="bottom"/>
            <w:tcBorders>
              <w:top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380" w:type="dxa"/>
            <w:vAlign w:val="bottom"/>
            <w:gridSpan w:val="2"/>
          </w:tcPr>
          <w:p>
            <w:pPr>
              <w:spacing w:after="0"/>
              <w:rPr>
                <w:sz w:val="16"/>
                <w:szCs w:val="16"/>
                <w:color w:val="auto"/>
              </w:rPr>
            </w:pP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any of the Selling Stockholders has authorized anyone to provide you with any information or to make any representations other than those contained in this prospectus or in any accompanying prospectus supplement we have prepared. Neither we nor any of the Selling Stockholders takes any responsibility for, and can provide no assurance as to the reliability of, any other information that others may give you. The information contained in this prospectus is accurate only as of the date of this prospectus, regardless of the time of delivery of this prospectus or of any sale of our common stock. Our business, financial condition, results of operations, and future growth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605155</wp:posOffset>
            </wp:positionV>
            <wp:extent cx="63023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2375" cy="17145"/>
                    </a:xfrm>
                    <a:prstGeom prst="rect">
                      <a:avLst/>
                    </a:prstGeom>
                    <a:noFill/>
                  </pic:spPr>
                </pic:pic>
              </a:graphicData>
            </a:graphic>
          </wp:anchor>
        </w:drawing>
      </w:r>
    </w:p>
    <w:p>
      <w:pPr>
        <w:sectPr>
          <w:pgSz w:w="11900" w:h="16838" w:orient="portrait"/>
          <w:cols w:equalWidth="0" w:num="1">
            <w:col w:w="9920"/>
          </w:cols>
          <w:pgMar w:left="980" w:top="494" w:right="99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692150</wp:posOffset>
            </wp:positionV>
            <wp:extent cx="5848350" cy="7536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350" cy="753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spacing w:after="0" w:line="183"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spacing w:after="0" w:line="182"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estimates that the operational advantages accruing from reactor technology and plant design choices place the IMSR Plant competitively in a large and growing serviceable addressable market valued at $1.4 trillion today in Organization for Economic Co-operation and Development (OECD) countries. This market includes both clean, firm, and high-temperature thermal energy, and grid-based electric power supply, across a wide range of industrial and grid applications.</w:t>
      </w:r>
    </w:p>
    <w:p>
      <w:pPr>
        <w:spacing w:after="0" w:line="183"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spacing w:after="0" w:line="182"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Ukrainian War, by national energy policy objectives particularly in the US, and by a broad realization that net-zero is not feasible without a massive expansion in nuclear energy supply as evidenced by declarations at COP28 in Dubai.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4" w:lineRule="exact"/>
        <w:rPr>
          <w:sz w:val="20"/>
          <w:szCs w:val="20"/>
          <w:color w:val="auto"/>
        </w:rPr>
      </w:pPr>
    </w:p>
    <w:p>
      <w:pPr>
        <w:jc w:val="both"/>
        <w:ind w:left="60" w:right="79"/>
        <w:spacing w:after="0" w:line="251" w:lineRule="auto"/>
        <w:rPr>
          <w:sz w:val="20"/>
          <w:szCs w:val="20"/>
          <w:color w:val="auto"/>
        </w:rPr>
      </w:pPr>
      <w:r>
        <w:rPr>
          <w:rFonts w:ascii="Times New Roman" w:cs="Times New Roman" w:eastAsia="Times New Roman" w:hAnsi="Times New Roman"/>
          <w:sz w:val="18"/>
          <w:szCs w:val="18"/>
          <w:color w:val="auto"/>
        </w:rPr>
        <w:t>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On October 28, 2025, pursuant to the Business Combination Agreement, dated as of March 26, 2025, as amended, the Company completed the Business Combination with Terrestrial Energy Development Inc. (“TEDI”), a Delaware corporation,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ind w:left="60" w:right="79"/>
        <w:spacing w:after="0" w:line="27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common stock. These risks, among others, include the following:</w:t>
      </w:r>
    </w:p>
    <w:p>
      <w:pPr>
        <w:spacing w:after="0" w:line="163" w:lineRule="exact"/>
        <w:rPr>
          <w:sz w:val="20"/>
          <w:szCs w:val="20"/>
          <w:color w:val="auto"/>
        </w:rPr>
      </w:pPr>
    </w:p>
    <w:p>
      <w:pPr>
        <w:ind w:left="700" w:right="79" w:hanging="313"/>
        <w:spacing w:after="0" w:line="258"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commercial operating history makes it difficult to evaluate our prospects, the risks and challenges we may encounter and our total potential addressable market.</w:t>
      </w:r>
    </w:p>
    <w:p>
      <w:pPr>
        <w:spacing w:after="0" w:line="1" w:lineRule="exact"/>
        <w:rPr>
          <w:rFonts w:ascii="Times New Roman" w:cs="Times New Roman" w:eastAsia="Times New Roman" w:hAnsi="Times New Roman"/>
          <w:sz w:val="18"/>
          <w:szCs w:val="18"/>
          <w:color w:val="auto"/>
        </w:rPr>
      </w:pPr>
    </w:p>
    <w:p>
      <w:pPr>
        <w:ind w:left="700" w:right="99" w:hanging="313"/>
        <w:spacing w:after="0" w:line="255"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development and construction of our IMSR plants and the manufacturing of their key components may adversely impact our business and financial condition.</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369570</wp:posOffset>
            </wp:positionV>
            <wp:extent cx="58445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45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692150</wp:posOffset>
            </wp:positionV>
            <wp:extent cx="584835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35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right="99" w:hanging="313"/>
        <w:spacing w:after="0" w:line="258"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and our business, results of operations, and financial condition could be harmed.</w:t>
      </w:r>
    </w:p>
    <w:p>
      <w:pPr>
        <w:spacing w:after="0" w:line="1" w:lineRule="exact"/>
        <w:rPr>
          <w:rFonts w:ascii="Times New Roman" w:cs="Times New Roman" w:eastAsia="Times New Roman" w:hAnsi="Times New Roman"/>
          <w:sz w:val="18"/>
          <w:szCs w:val="18"/>
          <w:color w:val="auto"/>
        </w:rPr>
      </w:pPr>
    </w:p>
    <w:p>
      <w:pPr>
        <w:jc w:val="both"/>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effectively update the design, construction, and operations of our planned IMSR Plants to ensure cost competitiveness could reduce the marketability of our designs and has the potential to impact deployment schedules.</w:t>
      </w:r>
    </w:p>
    <w:p>
      <w:pPr>
        <w:spacing w:after="0" w:line="2"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new, or further enhancements to existing, alternative low-carbon energy generation technologies may adversely affect the market demand for our IMSR Plants.</w:t>
      </w:r>
    </w:p>
    <w:p>
      <w:pPr>
        <w:spacing w:after="0" w:line="1"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demand for our IMSR Plants fails to develop sufficiently, our business and operations could suffer, and we would be unable to achieve or maintain profitability.</w:t>
      </w:r>
    </w:p>
    <w:p>
      <w:pPr>
        <w:spacing w:after="0" w:line="1"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IMSR Plant design may not attract customers as quickly as we expect, or at all.</w:t>
      </w:r>
    </w:p>
    <w:p>
      <w:pPr>
        <w:spacing w:after="0" w:line="6"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rescind or back out of non-binding agreements due to various reasons, which could adversely affect our revenue streams, project timelines, and overall financial performance.</w:t>
      </w:r>
    </w:p>
    <w:p>
      <w:pPr>
        <w:spacing w:after="0" w:line="1"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estimates are sensitive to broader economic factors, and our ability to control or manage our costs may be limited.</w:t>
      </w:r>
    </w:p>
    <w:p>
      <w:pPr>
        <w:spacing w:after="0" w:line="1"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competitors or technologies domestically and internationally could cause us to experience one or more of downward pressures on prices, lower customer demand for our products and services, reduced margins, the inability to take advantage of new business opportunities and the loss of market share.</w:t>
      </w:r>
    </w:p>
    <w:p>
      <w:pPr>
        <w:spacing w:after="0" w:line="2"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 of electricity, natural gas, oil and other forms of energy are subject to volatile market conditions that could adversely affect our business prospects, financial condition, results of operations and cash flows.</w:t>
      </w:r>
    </w:p>
    <w:p>
      <w:pPr>
        <w:spacing w:after="0" w:line="2"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uranium supply chains makes long-range planning uncertain.</w:t>
      </w:r>
    </w:p>
    <w:p>
      <w:pPr>
        <w:spacing w:after="0" w:line="6"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electricity and heat generated from nuclear sources may not be cost competitive with other electricity generation sources and/or heat generated from other sources in some markets, which could materially and adversely affect our business prospects, financial condition, results of operations and cash flow.</w:t>
      </w:r>
    </w:p>
    <w:p>
      <w:pPr>
        <w:spacing w:after="0" w:line="2"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illustrative unit economics are subject to significant risks, assumptions, estimates, and uncertainties. As a result, our actual revenues, timing for achieving business milestones, expenses, capital expenditures, profitability and cash flows may differ materially from our expectations.</w:t>
      </w:r>
    </w:p>
    <w:p>
      <w:pPr>
        <w:spacing w:after="0" w:line="2"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IMSR plants may not operate as planned.</w:t>
      </w:r>
    </w:p>
    <w:p>
      <w:pPr>
        <w:spacing w:after="0" w:line="6" w:lineRule="exact"/>
        <w:rPr>
          <w:rFonts w:ascii="Times New Roman" w:cs="Times New Roman" w:eastAsia="Times New Roman" w:hAnsi="Times New Roman"/>
          <w:sz w:val="18"/>
          <w:szCs w:val="18"/>
          <w:color w:val="auto"/>
        </w:rPr>
      </w:pPr>
    </w:p>
    <w:p>
      <w:pPr>
        <w:jc w:val="both"/>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operate in a politically sensitive environment, and the public perception of nuclear energy and radioactive materials could materially and adversely affect us, our customers, and the markets in which we operate.</w:t>
      </w:r>
    </w:p>
    <w:p>
      <w:pPr>
        <w:spacing w:after="0" w:line="2"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Incidents involving nuclear energy facilities, including accidents, terrorist acts or other high-profile events involving radioactive materials, could materially and adversely affect the public perception of the safety of nuclear energy and adversely affect our business.</w:t>
      </w:r>
    </w:p>
    <w:p>
      <w:pPr>
        <w:spacing w:after="0" w:line="2"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on us and our customers from severe weather and other effects of climate change and the economic impacts of the transition to low-emissions energy, could adversely affect our financial condition, operating results, and cash flows.</w:t>
      </w:r>
    </w:p>
    <w:p>
      <w:pPr>
        <w:spacing w:after="0" w:line="2"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spacing w:after="0" w:line="2"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IMSR Plant involves toxic, hazardous and/or radioactive materials and could result in liability without regard to fault or negligence.</w:t>
      </w:r>
    </w:p>
    <w:p>
      <w:pPr>
        <w:spacing w:after="0" w:line="1" w:lineRule="exact"/>
        <w:rPr>
          <w:rFonts w:ascii="Times New Roman" w:cs="Times New Roman" w:eastAsia="Times New Roman" w:hAnsi="Times New Roman"/>
          <w:sz w:val="18"/>
          <w:szCs w:val="18"/>
          <w:color w:val="auto"/>
        </w:rPr>
      </w:pPr>
    </w:p>
    <w:p>
      <w:pPr>
        <w:jc w:val="both"/>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safety performance or security incidents at our customers’ facilities — or any nuclear facility around the world — could have a material adverse effect on our business, financial condition and results of operations.</w:t>
      </w:r>
    </w:p>
    <w:p>
      <w:pPr>
        <w:spacing w:after="0" w:line="2"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information technology and cyber security threats which could have adverse effects, including regulatory effects, on our business and results of operations.</w:t>
      </w:r>
    </w:p>
    <w:p>
      <w:pPr>
        <w:spacing w:after="0" w:line="1" w:lineRule="exact"/>
        <w:rPr>
          <w:rFonts w:ascii="Times New Roman" w:cs="Times New Roman" w:eastAsia="Times New Roman" w:hAnsi="Times New Roman"/>
          <w:sz w:val="18"/>
          <w:szCs w:val="18"/>
          <w:color w:val="auto"/>
        </w:rPr>
      </w:pPr>
    </w:p>
    <w:p>
      <w:pPr>
        <w:ind w:left="700" w:right="7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vendors may not be able to obtain sufficient materials or supplied components to meet our manufacturing and operating needs, or obtain such materials on favorable terms or at expected costs.</w:t>
      </w:r>
    </w:p>
    <w:p>
      <w:pPr>
        <w:spacing w:after="0" w:line="1"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recruit and retain experienced and qualified personnel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 rights may be challenged and is not guaranteed.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354965</wp:posOffset>
            </wp:positionV>
            <wp:extent cx="58445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45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692150</wp:posOffset>
            </wp:positionV>
            <wp:extent cx="5848350" cy="6722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672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right="99" w:hanging="313"/>
        <w:spacing w:after="0" w:line="258"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enjoy only limited geographical protection with respect to certain issued patents and trademarks and may not be able to protect our intellectual property rights throughout the world.</w:t>
      </w:r>
    </w:p>
    <w:p>
      <w:pPr>
        <w:spacing w:after="0" w:line="1" w:lineRule="exact"/>
        <w:rPr>
          <w:rFonts w:ascii="Times New Roman" w:cs="Times New Roman" w:eastAsia="Times New Roman" w:hAnsi="Times New Roman"/>
          <w:sz w:val="18"/>
          <w:szCs w:val="18"/>
          <w:color w:val="auto"/>
        </w:rPr>
      </w:pPr>
    </w:p>
    <w:p>
      <w:pPr>
        <w:ind w:left="700" w:right="7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time-consuming and could cause us to incur substantial fees and costs.</w:t>
      </w:r>
    </w:p>
    <w:p>
      <w:pPr>
        <w:spacing w:after="0" w:line="1"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which might adversely affect our ability to develop and market our IMSR Plants.</w:t>
      </w:r>
    </w:p>
    <w:p>
      <w:pPr>
        <w:spacing w:after="0" w:line="1"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of ownership and other rights to our patents and other intellectual property by third parties.</w:t>
      </w:r>
    </w:p>
    <w:p>
      <w:pPr>
        <w:spacing w:after="0" w:line="1" w:lineRule="exact"/>
        <w:rPr>
          <w:rFonts w:ascii="Times New Roman" w:cs="Times New Roman" w:eastAsia="Times New Roman" w:hAnsi="Times New Roman"/>
          <w:sz w:val="18"/>
          <w:szCs w:val="18"/>
          <w:color w:val="auto"/>
        </w:rPr>
      </w:pPr>
    </w:p>
    <w:p>
      <w:pPr>
        <w:ind w:left="700" w:right="7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and hybridization of the Thermal and Electric Facility may require additional research and development and/or reliance on external service providers.</w:t>
      </w:r>
    </w:p>
    <w:p>
      <w:pPr>
        <w:spacing w:after="0" w:line="1"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management team have limited experience in operating a public company.</w:t>
      </w:r>
    </w:p>
    <w:p>
      <w:pPr>
        <w:spacing w:after="0" w:line="6" w:lineRule="exact"/>
        <w:rPr>
          <w:rFonts w:ascii="Times New Roman" w:cs="Times New Roman" w:eastAsia="Times New Roman" w:hAnsi="Times New Roman"/>
          <w:sz w:val="18"/>
          <w:szCs w:val="18"/>
          <w:color w:val="auto"/>
        </w:rPr>
      </w:pPr>
    </w:p>
    <w:p>
      <w:pPr>
        <w:jc w:val="both"/>
        <w:ind w:left="700" w:right="7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reporting obligations under the United States securities laws and Section 404 of Sarbanes-Oxley requires expenditures of capital and other resources and may divert management’s attention. If we fail to comply with these reporting obligations or to maintain adequate internal controls our operations, and investors’ confidence in us, could be materially and adversely affected.</w:t>
      </w:r>
    </w:p>
    <w:p>
      <w:pPr>
        <w:spacing w:after="0" w:line="2"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compliance with law, government regulation and litigation.</w:t>
      </w:r>
    </w:p>
    <w:p>
      <w:pPr>
        <w:spacing w:after="0" w:line="6" w:lineRule="exact"/>
        <w:rPr>
          <w:rFonts w:ascii="Times New Roman" w:cs="Times New Roman" w:eastAsia="Times New Roman" w:hAnsi="Times New Roman"/>
          <w:sz w:val="18"/>
          <w:szCs w:val="18"/>
          <w:color w:val="auto"/>
        </w:rPr>
      </w:pPr>
    </w:p>
    <w:p>
      <w:pPr>
        <w:ind w:left="700" w:right="99" w:hanging="313"/>
        <w:spacing w:after="0" w:line="247"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capital resources and our ability to continue as a going concern, and risks related to tax laws and regulations.</w:t>
      </w:r>
    </w:p>
    <w:p>
      <w:pPr>
        <w:spacing w:after="0" w:line="1"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volatility of our common stock, and provisions in our certificate of incorporation and bylaws.</w:t>
      </w:r>
    </w:p>
    <w:p>
      <w:pPr>
        <w:spacing w:after="0" w:line="6"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an emerging growth company.</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Our principal executive office is located at 2730 W. Tyvola Road, Suite 100, Charlotte, NC 28217. Our telephone number is</w:t>
      </w:r>
    </w:p>
    <w:p>
      <w:pPr>
        <w:spacing w:after="0" w:line="37" w:lineRule="exact"/>
        <w:rPr>
          <w:sz w:val="20"/>
          <w:szCs w:val="20"/>
          <w:color w:val="auto"/>
        </w:rPr>
      </w:pPr>
    </w:p>
    <w:p>
      <w:pPr>
        <w:ind w:left="60" w:right="79" w:firstLine="6"/>
        <w:spacing w:after="0" w:line="255" w:lineRule="auto"/>
        <w:tabs>
          <w:tab w:leader="none" w:pos="5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687-8212. Our website address is </w:t>
      </w:r>
      <w:r>
        <w:rPr>
          <w:rFonts w:ascii="Times New Roman" w:cs="Times New Roman" w:eastAsia="Times New Roman" w:hAnsi="Times New Roman"/>
          <w:sz w:val="18"/>
          <w:szCs w:val="18"/>
          <w:i w:val="1"/>
          <w:iCs w:val="1"/>
          <w:color w:val="auto"/>
        </w:rPr>
        <w:t>https://www.terrestrialenergy.com/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182" w:lineRule="exact"/>
        <w:rPr>
          <w:sz w:val="20"/>
          <w:szCs w:val="20"/>
          <w:color w:val="auto"/>
        </w:rPr>
      </w:pPr>
    </w:p>
    <w:p>
      <w:pPr>
        <w:jc w:val="both"/>
        <w:ind w:left="60" w:right="79"/>
        <w:spacing w:after="0" w:line="231" w:lineRule="auto"/>
        <w:rPr>
          <w:sz w:val="20"/>
          <w:szCs w:val="20"/>
          <w:color w:val="auto"/>
        </w:rPr>
      </w:pPr>
      <w:r>
        <w:rPr>
          <w:rFonts w:ascii="Times New Roman" w:cs="Times New Roman" w:eastAsia="Times New Roman" w:hAnsi="Times New Roman"/>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4" w:lineRule="exact"/>
        <w:rPr>
          <w:sz w:val="20"/>
          <w:szCs w:val="20"/>
          <w:color w:val="auto"/>
        </w:rPr>
      </w:pPr>
    </w:p>
    <w:p>
      <w:pPr>
        <w:jc w:val="both"/>
        <w:ind w:left="60" w:right="79"/>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354965</wp:posOffset>
            </wp:positionV>
            <wp:extent cx="58445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45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692150</wp:posOffset>
            </wp:positionV>
            <wp:extent cx="5848350" cy="3736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373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our IPO, (b) in which we have total annual gross revenue of at least $1.235 billion, or (c) in which we are deemed to be a large accelerated filer, which means the market value of our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7"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w:t>
      </w:r>
    </w:p>
    <w:p>
      <w:pPr>
        <w:spacing w:after="0" w:line="182"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82" w:lineRule="exact"/>
        <w:rPr>
          <w:sz w:val="20"/>
          <w:szCs w:val="20"/>
          <w:color w:val="auto"/>
        </w:rPr>
      </w:pPr>
    </w:p>
    <w:p>
      <w:pPr>
        <w:jc w:val="both"/>
        <w:ind w:left="60" w:right="79"/>
        <w:spacing w:after="0" w:line="252"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354965</wp:posOffset>
            </wp:positionV>
            <wp:extent cx="58445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454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ind w:left="40" w:right="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investment in shares of our common stock is highly speculative and involves a high degree of risk. We face a variety of risks that may affect our operations or financial results and many of those risks are driven by factors that we cannot control or predict. Before investing in our common stock, you should carefully consider the risks set forth under the caption “Risk Factors” in our Annual Report on Form 10-K for year ended December 31, 2025, filed on </w:t>
      </w:r>
      <w:hyperlink r:id="rId31">
        <w:r>
          <w:rPr>
            <w:rFonts w:ascii="Times New Roman" w:cs="Times New Roman" w:eastAsia="Times New Roman" w:hAnsi="Times New Roman"/>
            <w:sz w:val="18"/>
            <w:szCs w:val="18"/>
            <w:u w:val="single" w:color="auto"/>
            <w:color w:val="0000EE"/>
          </w:rPr>
          <w:t>March 30, 2026</w:t>
        </w:r>
      </w:hyperlink>
      <w:r>
        <w:rPr>
          <w:rFonts w:ascii="Times New Roman" w:cs="Times New Roman" w:eastAsia="Times New Roman" w:hAnsi="Times New Roman"/>
          <w:sz w:val="18"/>
          <w:szCs w:val="18"/>
          <w:color w:val="auto"/>
        </w:rPr>
        <w:t>, which are incorporated by reference herein, and subsequent reports filed with the SEC, together with the financial and other information contained or incorporated by reference in this prospectus. If any of these risks occur, our business, financial condition and operating results may be materially adversely affected. In that event, the trading price of our securities could decline, and you could lose all or part of your investment. The risks and uncertainties described above are not the only ones we face. Additional risks and uncertainties that we are unaware of, or that we currently believe are not material, may also become important factors that adversely affect our business or results of operations.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4"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prospectus and the documents incorporated by reference herein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18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 the development of the Company’s technology, the Company’s expansion plans and opportunities, and the development of the nuclear and energy markets.</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prospectus and the documents incorporated by reference herein,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185"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the documents incorporated by reference herein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71"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prospectus, except as may be required by law.</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4"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May 12, 2026, as adjusted to reflect the Shares that may be sold from time to time pursuant to this prospectus, for all Selling Stockholders, consisting of the individuals shown as having shares listed in the column entitled “Common Stock Being Offered.” The Shares offered by the Selling Stockholders hereunder consist of an aggregate of 11,783,395 Shares acquired or to be acquired by certain of our current directors and officers upon the exercise of stock options and settlement of restricted stock units (“RSUs”) granted under the Plans.</w:t>
      </w:r>
    </w:p>
    <w:p>
      <w:pPr>
        <w:spacing w:after="0" w:line="18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accordance with SEC rules, shares of our common stock that may be acquired upon exercise of stock options or warrants that are exercisable or that become exercisable within 60 days of May 12, 2026, or issuable upon settlement of RSUs that vest within 60 days of May 12, 2026, are deemed beneficially owned by the holders of such options, warrants and RSUs and are deemed outstanding for the purpose of computing the percentage of ownership of such person, but are not treated as outstanding for the purpose of computing the percentage of ownership of any other person.</w:t>
      </w:r>
    </w:p>
    <w:p>
      <w:pPr>
        <w:spacing w:after="0" w:line="18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information below is based on an aggregate of 82,718,567 shares of common stock outstanding as of May 12, 2026. Unless otherwise indicated, the business address of each of the following entities or individuals is 2730 W. Tyvola Road, Suite 100, Charlotte, NC 28217. To the best of our knowledge, except as otherwise indicated, each of the persons named in the table has sole voting and investment power with respect to the shares of our common stock beneficially owned by such person, except to the extent such power may be shared with a spouse. To our knowledge, (i) none of the shares of common stock listed below are held under a voting trust or similar agreement, except as noted, and (ii) there is no arrangement, including any pledge by any person of securities of the Company, the operation of which may at a subsequent date result in a change in control of the Company.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36"/>
        </w:trPr>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Selling</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Owned Prior to the Offering</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4"/>
              </w:rPr>
              <w:t>Being Offered</w:t>
            </w:r>
            <w:r>
              <w:rPr>
                <w:rFonts w:ascii="Times New Roman" w:cs="Times New Roman" w:eastAsia="Times New Roman" w:hAnsi="Times New Roman"/>
                <w:sz w:val="26"/>
                <w:szCs w:val="26"/>
                <w:b w:val="1"/>
                <w:bCs w:val="1"/>
                <w:color w:val="auto"/>
                <w:w w:val="94"/>
                <w:vertAlign w:val="superscript"/>
              </w:rPr>
              <w:t>(1)</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51"/>
              <w:spacing w:after="0" w:line="236" w:lineRule="exact"/>
              <w:rPr>
                <w:sz w:val="20"/>
                <w:szCs w:val="20"/>
                <w:color w:val="auto"/>
              </w:rPr>
            </w:pPr>
            <w:r>
              <w:rPr>
                <w:rFonts w:ascii="Times New Roman" w:cs="Times New Roman" w:eastAsia="Times New Roman" w:hAnsi="Times New Roman"/>
                <w:sz w:val="18"/>
                <w:szCs w:val="18"/>
                <w:b w:val="1"/>
                <w:bCs w:val="1"/>
                <w:color w:val="auto"/>
                <w:w w:val="98"/>
              </w:rPr>
              <w:t>Owned After the Offering</w:t>
            </w:r>
            <w:r>
              <w:rPr>
                <w:rFonts w:ascii="Times New Roman" w:cs="Times New Roman" w:eastAsia="Times New Roman" w:hAnsi="Times New Roman"/>
                <w:sz w:val="26"/>
                <w:szCs w:val="26"/>
                <w:b w:val="1"/>
                <w:bCs w:val="1"/>
                <w:color w:val="auto"/>
                <w:w w:val="98"/>
                <w:vertAlign w:val="superscript"/>
              </w:rPr>
              <w:t>(2)</w:t>
            </w:r>
          </w:p>
        </w:tc>
        <w:tc>
          <w:tcPr>
            <w:tcW w:w="160" w:type="dxa"/>
            <w:vAlign w:val="bottom"/>
          </w:tcPr>
          <w:p>
            <w:pPr>
              <w:spacing w:after="0"/>
              <w:rPr>
                <w:sz w:val="20"/>
                <w:szCs w:val="20"/>
                <w:color w:val="auto"/>
              </w:rPr>
            </w:pPr>
          </w:p>
        </w:tc>
      </w:tr>
      <w:tr>
        <w:trPr>
          <w:trHeight w:val="207"/>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Percentage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8"/>
                <w:szCs w:val="18"/>
                <w:color w:val="auto"/>
              </w:rPr>
            </w:pPr>
          </w:p>
        </w:tc>
      </w:tr>
      <w:tr>
        <w:trPr>
          <w:trHeight w:val="207"/>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Irish</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8,806,181</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6,550,055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8,315,209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William Smith</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1,595,894</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LeBlanc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8,386,017</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8,240,555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Brian Thrasher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Millsap</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44,703</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Frederick Buckman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312,168</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Hill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655,487</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William Johnson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134,109</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Jones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Hugh MacDiarmid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2,166,904</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11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2.6 %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Matthews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7,119,230</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w:t>
            </w:r>
          </w:p>
        </w:tc>
        <w:tc>
          <w:tcPr>
            <w:tcW w:w="11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7,119,230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Charles Pardee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409,084</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385,884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wp:posOffset>
            </wp:positionV>
            <wp:extent cx="1416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156" w:lineRule="exact"/>
        <w:rPr>
          <w:sz w:val="20"/>
          <w:szCs w:val="20"/>
          <w:color w:val="auto"/>
        </w:rPr>
      </w:pPr>
    </w:p>
    <w:p>
      <w:pPr>
        <w:ind w:left="380" w:hanging="331"/>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17" w:lineRule="exact"/>
        <w:rPr>
          <w:sz w:val="20"/>
          <w:szCs w:val="20"/>
          <w:color w:val="auto"/>
        </w:rPr>
      </w:pPr>
    </w:p>
    <w:p>
      <w:pPr>
        <w:jc w:val="both"/>
        <w:ind w:left="380" w:right="79" w:hanging="331"/>
        <w:spacing w:after="0" w:line="260"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offered for resale in this offering reflect all shares of common stock acquired or issuable to a person pursuant to applicable awards and grants, including options and restricted stock units, previously made irrespective of whether such grants are vested or exercisable within 60 days of May 12,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hanging="331"/>
        <w:spacing w:after="0" w:line="257"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all of the Shares held by each Selling Stockholder and being offered under this prospectus are sold, and that no Selling Stockholder will acquire additional shares of common stock before the completion of this offering.</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Irish serves as the Company’s Chief Executive Officer and a member of the Board of Directors. Consists of (i) 2,295,934 shares of common stock held directly by Mr. Irish, 2,818,520 shares of common stock held indirectly by SWH Capital LLC (“SWH”) and 52,255 shares of common stock held indirectly by Equity Trust Company Custodian FBO Simon Irish, IRA (the “Simon Irish IRA”); (ii) 490,972 shares of common stock issuable upon the exercise of options; (iii) 44,703 shares of common stock issuable upon the exercise of warrants assumed by the Company pursuant to the Business Combination Agreement (the “Legacy Terrestrial Warrants”); (iv) 89,406 shares of common stock issuable upon the exercise of Legacy Terrestrial Warrants that are held by the Simon Irish IRA and (v) 3,014,391 shares of common stock (including shares of common stock issuable upon the exchange of Exchangeable Shares) held by Mr. LeBlanc and subject to the voting agreement between Mr. Irish and Mr. LeBlanc (the “Voting Agreement”). The Voting Agreement provides that to the extent Mr. LeBlanc would otherwise be entitled to cast more votes on any matter submitted to Company stockholders than Mr. Irish, Mr. LeBlanc has granted Mr. Irish the power to direct the voting of certain such excess shares. Mr. Irish maintains sole voting and investment power over the securities held by SWH and the Simon Irish IRA and thus may be deemed to beneficially own such securities. The amount reported does not include an additional 4,810,035 shares of common stock underlying stock options held by Mr. Irish that have vested but are not exercisable within 60 days of May 12, 2026.</w:t>
      </w:r>
    </w:p>
    <w:p>
      <w:pPr>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Smith serves as the Company’s Chief Operating Officer. Consists of 1,595,894 shares of common stock issuable upon the exercise of options.</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LeBlanc serves as the Company’s Chief Technology Officer and a member of the Board of Directors. Consists of (i) 5,981 shares of common stock held directly by Mr. LeBlanc; (ii) 11,175,778 shares of common stock issuable upon the exchange of Exchangeable Shares; (ii) 145,463 shares of common stock issuable upon the exercise of options; (iii) 17,881 shares of common stock issuable upon the exercise of Legacy Terrestrial Warrants; (iv) 13,731 shares of common stock held by M. Denis-LeBlanc Medecine Societe Professionelle (the “LeBlanc Entity”); (v) 41,574 shares of common stock issuable upon the exercise of Legacy Terrestrial Warrants that are held by the LeBlanc Entity; and (vi) the removal of 3,014,391 shares of common stock (including shares of common stock issuable upon the exchange of Exchangeable Shares) held by Mr. LeBlanc and subject to the Voting Agreement. The LeBlanc Entity is an entity wholly owned by Mr. LeBlanc’s wife, and, as such, Mr. LeBlanc may be deemed to beneficially own such shares.</w:t>
      </w:r>
    </w:p>
    <w:p>
      <w:pPr>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Thrasher serves as the Company’s Chief Financial Officer. Consists of 52,168 shares of common stock issuable upon the exercise of options.</w:t>
      </w:r>
    </w:p>
    <w:p>
      <w:pPr>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Millsap serves as the Company’s General Counsel, Secretary, and Chief Compliance Officer. Consists of 44,703 shares of common stock issuable upon the exercise of options.</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Buckman serves as Chair of the Company’s Board of Directors. Consists of (i) 6,669 shares of common stock held directly by Mr. Buckman; (ii) 223,515 shares of common stock issuable upon the exercise of options; (iii) 22,351 shares of common stock issuable upon the exercise of Legacy Terrestrial Warrants; and (iv) 14,930 shares of common stock held by the Frederick and Marion Buckman Family Trust dated July 25, 2014 (the “Buckman Trust”) and (v) 44,703 shares of common stock issuable upon the exercise of Legacy Terrestrial Warrants that are held by the Buckman Trust. Mr. Buckman maintains sole voting and investment power over the securities held by the Buckman Trust and thus may be deemed to beneficially own such securities.</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Hill serves as a member of the Company’s Board of Directors. Consists of (i) 18,470 shares of common stock held directly by Mr. Hill; (ii) 581,138 shares of common stock issuable upon the exercise of options; and (iii) 55,879 shares of common stock issuable upon the exercise of Legacy Terrestrial Warrants.</w:t>
      </w:r>
    </w:p>
    <w:p>
      <w:pPr>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Johnson serves as a member of the Company’s Board of Directors. Consists of 134,109 shares of common stock issuable upon the exercise of options.</w:t>
      </w:r>
    </w:p>
    <w:p>
      <w:pPr>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Jones serves as a member of the Company’s Board of Directors. Consists of 22,396 shares of common stock issuable upon the exercise of options.</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MacDiarmid serves as a member of the Company’s Board of Directors. Consists of (i) 25,946 shares of common stock and 558,787 shares of common stock issuable upon the exchange of Exchangeable Shares held directly by Mr. MacDiarmid;</w:t>
      </w:r>
    </w:p>
    <w:p>
      <w:pPr>
        <w:jc w:val="both"/>
        <w:ind w:left="380" w:right="79" w:hanging="10"/>
        <w:spacing w:after="0" w:line="246" w:lineRule="auto"/>
        <w:tabs>
          <w:tab w:leader="none" w:pos="64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1,369,832 shares of common stock issuable upon the exercise of options; (iii) 78,230 shares of common stock issuable upon the exercise of Legacy Terrestrial Warrants; and (iv) 134,109 shares of common stock issuable upon the exchange of Exchangeable Shares held by Visex Management Corporation (“Visex”). Mr. MacDiarmid maintains sole voting and investment power over the shares held by Visex and thus may be deemed to beneficially own such shares.</w:t>
      </w:r>
    </w:p>
    <w:p>
      <w:pPr>
        <w:jc w:val="both"/>
        <w:ind w:left="380" w:right="79" w:hanging="331"/>
        <w:spacing w:after="0" w:line="246"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Matthews serves as a member of the Company’s Board of Directors. Consists of (i) 533,514 shares of common stock and 1,788,117 shares of common stock issuable upon the exercise of Legacy Terrestrial Warrants held directly by Mr. Matthews;</w:t>
      </w:r>
    </w:p>
    <w:p>
      <w:pPr>
        <w:jc w:val="both"/>
        <w:ind w:left="380" w:right="79" w:hanging="10"/>
        <w:spacing w:after="0" w:line="246" w:lineRule="auto"/>
        <w:tabs>
          <w:tab w:leader="none" w:pos="63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2,755,000 shares of common stock and 775,000 shares of common stock issuable upon the exercise of private placement warrants (as described below) distributed by HCM Investor Holdings II, LLC (the “Sponsor”) to Mr. Matthews; and</w:t>
      </w:r>
    </w:p>
    <w:p>
      <w:pPr>
        <w:ind w:left="660" w:hanging="290"/>
        <w:spacing w:after="0"/>
        <w:tabs>
          <w:tab w:leader="none" w:pos="6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1,267,599 shares of common stock issuable upon the exercise of private placement warrants held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spacing w:after="0" w:line="257" w:lineRule="auto"/>
        <w:rPr>
          <w:sz w:val="20"/>
          <w:szCs w:val="20"/>
          <w:color w:val="auto"/>
        </w:rPr>
      </w:pPr>
      <w:r>
        <w:rPr>
          <w:rFonts w:ascii="Times New Roman" w:cs="Times New Roman" w:eastAsia="Times New Roman" w:hAnsi="Times New Roman"/>
          <w:sz w:val="17"/>
          <w:szCs w:val="17"/>
          <w:color w:val="auto"/>
        </w:rPr>
        <w:t>by Hondo Holdings LLC (“Hondo”). Mr. Matthews is the sole managing member of Hondo and holds voting and investment power with respect to securities held of record by Hondo.</w:t>
      </w:r>
    </w:p>
    <w:p>
      <w:pPr>
        <w:jc w:val="both"/>
        <w:ind w:left="380" w:right="79" w:hanging="331"/>
        <w:spacing w:after="0" w:line="249"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Pardee serves as a member of the Company’s Board of Directors. Consists of (i) 6,758 shares of common stock held directly by Mr. Pardee; (ii) 379,975 shares of common stock issuable upon the exercise of options; and (iii) 22,351 shares of common stock issuable upon the exercise of Legacy Terrestrial Warrants.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Shares offered by this prospectus may be sold from time to time to purchasers:</w:t>
      </w:r>
    </w:p>
    <w:p>
      <w:pPr>
        <w:spacing w:after="0" w:line="220" w:lineRule="exact"/>
        <w:rPr>
          <w:sz w:val="20"/>
          <w:szCs w:val="20"/>
          <w:color w:val="auto"/>
        </w:rPr>
      </w:pPr>
    </w:p>
    <w:p>
      <w:pPr>
        <w:ind w:left="700" w:hanging="330"/>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Stockholders, or</w:t>
      </w:r>
    </w:p>
    <w:p>
      <w:pPr>
        <w:spacing w:after="0" w:line="220" w:lineRule="exact"/>
        <w:rPr>
          <w:rFonts w:ascii="Times New Roman" w:cs="Times New Roman" w:eastAsia="Times New Roman" w:hAnsi="Times New Roman"/>
          <w:sz w:val="18"/>
          <w:szCs w:val="18"/>
          <w:color w:val="auto"/>
        </w:rPr>
      </w:pPr>
    </w:p>
    <w:p>
      <w:pPr>
        <w:ind w:left="700" w:right="79" w:hanging="330"/>
        <w:spacing w:after="0" w:line="277"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6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Shares may be sold in one or more transactions at:</w:t>
      </w:r>
    </w:p>
    <w:p>
      <w:pPr>
        <w:spacing w:after="0" w:line="220" w:lineRule="exact"/>
        <w:rPr>
          <w:sz w:val="20"/>
          <w:szCs w:val="20"/>
          <w:color w:val="auto"/>
        </w:rPr>
      </w:pPr>
    </w:p>
    <w:p>
      <w:pPr>
        <w:ind w:left="700" w:hanging="33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220" w:lineRule="exact"/>
        <w:rPr>
          <w:sz w:val="20"/>
          <w:szCs w:val="20"/>
          <w:color w:val="auto"/>
        </w:rPr>
      </w:pPr>
    </w:p>
    <w:p>
      <w:pPr>
        <w:ind w:left="700" w:right="159" w:hanging="330"/>
        <w:spacing w:after="0" w:line="277"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including the Nasdaq;</w:t>
      </w:r>
    </w:p>
    <w:p>
      <w:pPr>
        <w:spacing w:after="0" w:line="163"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20"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20"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8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8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Certain of the Selling Stockholders entered into Key Holder Lock-Up Agreements with the Company. Such Selling Stockholders will not be permitted, prior to October 28, 2026 (subject to the early release conditions described below) (the “ Common Stock Lock-Up Period”), to transfer any shares of Common Stock that are or will be issued or are or will be issuable to such Selling Stockholders in connection with the transactions contemplated by the Business Combination Agreement (the “Key Holder Lock-Up Shares”) in each case, without the prior written consent of the Board of Directors. The Key Holder Lock-Up Agreements further provide that, fifty percent (50%) of the Key Holder Lock-Up Shares may be transferred once the dollar volume-weighted average adjusted price of the Company’s common stock, calculated as an average for the prior twenty business days (the “VWAP”) equals or exceeds $15.00 per share. Similarly, the Key Holder Lock-Up Agreements provide that all of the Key Holder Lock-Up Shares may be transferred once the VWAP equals or exceeds $20.00 per share. The Key Holder Lock-Up Agreements provide for certain permitted transfers of the Key Holder Lock-Up Shares including but not limited to, transfers to certain affiliates or family members, or the exercise of certain stock options and warrants.</w:t>
      </w:r>
    </w:p>
    <w:p>
      <w:pPr>
        <w:spacing w:after="0" w:line="191"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Bryan Cave Leighton Paisner LLP.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8"/>
          <w:szCs w:val="18"/>
          <w:color w:val="auto"/>
        </w:rPr>
        <w:t>The financial statements of Terrestrial Energy Inc. as of December 31, 2025 and 2024, and for each of the two years in the period ended December 31, 2025, incorporated by reference in this prospectus, have been audited by UHY LLP, an independent registered public accounting firm, as stated in their report. Such financial statements are included in this prospectus in reliance upon such report and upon the authority of such firm as experts in accounting and auditing.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Registration Statement the following:</w:t>
      </w:r>
    </w:p>
    <w:p>
      <w:pPr>
        <w:spacing w:after="0" w:line="220" w:lineRule="exact"/>
        <w:rPr>
          <w:sz w:val="20"/>
          <w:szCs w:val="20"/>
          <w:color w:val="auto"/>
        </w:rPr>
      </w:pPr>
    </w:p>
    <w:p>
      <w:pPr>
        <w:ind w:left="700" w:right="79" w:hanging="330"/>
        <w:spacing w:after="0" w:line="277" w:lineRule="auto"/>
        <w:tabs>
          <w:tab w:leader="none" w:pos="7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Annual Report on Form 10-K for the year ended December 31, 2025, filed by the Company with the SEC on </w:t>
      </w:r>
      <w:hyperlink r:id="rId31">
        <w:r>
          <w:rPr>
            <w:rFonts w:ascii="Times New Roman" w:cs="Times New Roman" w:eastAsia="Times New Roman" w:hAnsi="Times New Roman"/>
            <w:sz w:val="18"/>
            <w:szCs w:val="18"/>
            <w:u w:val="single" w:color="auto"/>
            <w:color w:val="0000EE"/>
          </w:rPr>
          <w:t>March 30, 2026</w:t>
        </w:r>
      </w:hyperlink>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color w:val="0000EE"/>
        </w:rPr>
      </w:pPr>
    </w:p>
    <w:p>
      <w:pPr>
        <w:jc w:val="both"/>
        <w:ind w:left="700" w:right="79" w:hanging="330"/>
        <w:spacing w:after="0" w:line="262" w:lineRule="auto"/>
        <w:tabs>
          <w:tab w:leader="none" w:pos="7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portions of the Company’s Definitive Proxy Statement on Schedule 14A filed by the Company with the SEC on </w:t>
      </w:r>
      <w:hyperlink r:id="rId39">
        <w:r>
          <w:rPr>
            <w:rFonts w:ascii="Times New Roman" w:cs="Times New Roman" w:eastAsia="Times New Roman" w:hAnsi="Times New Roman"/>
            <w:sz w:val="18"/>
            <w:szCs w:val="18"/>
            <w:u w:val="single" w:color="auto"/>
            <w:color w:val="0000EE"/>
          </w:rPr>
          <w:t>April 29,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 specifically incorporated by reference into the Company’s Annual Report on Form 10-K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2025;</w:t>
      </w:r>
    </w:p>
    <w:p>
      <w:pPr>
        <w:spacing w:after="0" w:line="177" w:lineRule="exact"/>
        <w:rPr>
          <w:rFonts w:ascii="Times New Roman" w:cs="Times New Roman" w:eastAsia="Times New Roman" w:hAnsi="Times New Roman"/>
          <w:sz w:val="18"/>
          <w:szCs w:val="18"/>
          <w:color w:val="0000EE"/>
        </w:rPr>
      </w:pPr>
    </w:p>
    <w:p>
      <w:pPr>
        <w:ind w:left="700" w:right="79" w:hanging="330"/>
        <w:spacing w:after="0" w:line="277"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Form 10-Q for the three months ended March 31, 2026, filed by the Company with the SEC on </w:t>
      </w:r>
      <w:hyperlink r:id="rId40">
        <w:r>
          <w:rPr>
            <w:rFonts w:ascii="Times New Roman" w:cs="Times New Roman" w:eastAsia="Times New Roman" w:hAnsi="Times New Roman"/>
            <w:sz w:val="18"/>
            <w:szCs w:val="18"/>
            <w:u w:val="single" w:color="auto"/>
            <w:color w:val="0000EE"/>
          </w:rPr>
          <w:t>May 14, 2026</w:t>
        </w:r>
      </w:hyperlink>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41">
        <w:r>
          <w:rPr>
            <w:rFonts w:ascii="Times New Roman" w:cs="Times New Roman" w:eastAsia="Times New Roman" w:hAnsi="Times New Roman"/>
            <w:sz w:val="18"/>
            <w:szCs w:val="18"/>
            <w:u w:val="single" w:color="auto"/>
            <w:color w:val="0000EE"/>
          </w:rPr>
          <w:t>April 16,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left="700" w:right="79" w:hanging="330"/>
        <w:spacing w:after="0" w:line="277"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Quarterly Report on Form 10-Q, filed by the Company with the SEC on May 14, 2026.</w:t>
      </w:r>
    </w:p>
    <w:p>
      <w:pPr>
        <w:spacing w:after="0" w:line="163" w:lineRule="exact"/>
        <w:rPr>
          <w:rFonts w:ascii="Times New Roman" w:cs="Times New Roman" w:eastAsia="Times New Roman" w:hAnsi="Times New Roman"/>
          <w:sz w:val="18"/>
          <w:szCs w:val="18"/>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9" w:lineRule="exact"/>
        <w:rPr>
          <w:rFonts w:ascii="Times New Roman" w:cs="Times New Roman" w:eastAsia="Times New Roman" w:hAnsi="Times New Roman"/>
          <w:sz w:val="18"/>
          <w:szCs w:val="18"/>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Commission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 xml:space="preserve">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Those filings are also available to the public on, or accessible through, our website under the heading “Investors” at </w:t>
      </w:r>
      <w:r>
        <w:rPr>
          <w:rFonts w:ascii="Times New Roman" w:cs="Times New Roman" w:eastAsia="Times New Roman" w:hAnsi="Times New Roman"/>
          <w:sz w:val="18"/>
          <w:szCs w:val="18"/>
          <w:i w:val="1"/>
          <w:iCs w:val="1"/>
          <w:color w:val="auto"/>
        </w:rPr>
        <w:t>https://www.terrestrialenergy.com/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181"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Terrestrial Energy Inc., Attention: General Counsel, 2730 W. Tyvola Road, Suite 100, Charlotte, NC 28217.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*As permitted by Rule 428 under the Securities Act, this Registration Statement omits the information specified in Part I of Form S-8. The documents containing the information specified in Part I of this Registration Statement have been or will be sent or given to each participant in the 2024 Plan and the 2025 Plan, as applicable, in accordance with Rule 428(b)(1). Such documents are not required to be and are not being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Registration Statement the following:</w:t>
      </w:r>
    </w:p>
    <w:p>
      <w:pPr>
        <w:spacing w:after="0" w:line="220" w:lineRule="exact"/>
        <w:rPr>
          <w:sz w:val="20"/>
          <w:szCs w:val="20"/>
          <w:color w:val="auto"/>
        </w:rPr>
      </w:pPr>
    </w:p>
    <w:p>
      <w:pPr>
        <w:ind w:left="700" w:right="79" w:hanging="330"/>
        <w:spacing w:after="0" w:line="277" w:lineRule="auto"/>
        <w:tabs>
          <w:tab w:leader="none" w:pos="70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Annual Report on Form 10-K for the year ended December 31, 2025, filed by the Company with the SEC on </w:t>
      </w:r>
      <w:hyperlink r:id="rId31">
        <w:r>
          <w:rPr>
            <w:rFonts w:ascii="Times New Roman" w:cs="Times New Roman" w:eastAsia="Times New Roman" w:hAnsi="Times New Roman"/>
            <w:sz w:val="18"/>
            <w:szCs w:val="18"/>
            <w:u w:val="single" w:color="auto"/>
            <w:color w:val="0000EE"/>
          </w:rPr>
          <w:t>March 30, 2026</w:t>
        </w:r>
      </w:hyperlink>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color w:val="0000EE"/>
        </w:rPr>
      </w:pPr>
    </w:p>
    <w:p>
      <w:pPr>
        <w:jc w:val="both"/>
        <w:ind w:left="700" w:right="79" w:hanging="330"/>
        <w:spacing w:after="0" w:line="262" w:lineRule="auto"/>
        <w:tabs>
          <w:tab w:leader="none" w:pos="70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portions of the Company’s Definitive Proxy Statement on Schedule 14A filed by the Company with the SEC on </w:t>
      </w:r>
      <w:hyperlink r:id="rId39">
        <w:r>
          <w:rPr>
            <w:rFonts w:ascii="Times New Roman" w:cs="Times New Roman" w:eastAsia="Times New Roman" w:hAnsi="Times New Roman"/>
            <w:sz w:val="18"/>
            <w:szCs w:val="18"/>
            <w:u w:val="single" w:color="auto"/>
            <w:color w:val="0000EE"/>
          </w:rPr>
          <w:t>April 29,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 specifically incorporated by reference into the Company’s Annual Report on Form 10-K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2025;</w:t>
      </w:r>
    </w:p>
    <w:p>
      <w:pPr>
        <w:spacing w:after="0" w:line="177" w:lineRule="exact"/>
        <w:rPr>
          <w:rFonts w:ascii="Times New Roman" w:cs="Times New Roman" w:eastAsia="Times New Roman" w:hAnsi="Times New Roman"/>
          <w:sz w:val="18"/>
          <w:szCs w:val="18"/>
          <w:color w:val="0000EE"/>
        </w:rPr>
      </w:pPr>
    </w:p>
    <w:p>
      <w:pPr>
        <w:ind w:left="700" w:right="79" w:hanging="330"/>
        <w:spacing w:after="0" w:line="277"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Form 10-Q for the three months ended March 31, 2026, filed by the Company with the SEC on </w:t>
      </w:r>
      <w:hyperlink r:id="rId40">
        <w:r>
          <w:rPr>
            <w:rFonts w:ascii="Times New Roman" w:cs="Times New Roman" w:eastAsia="Times New Roman" w:hAnsi="Times New Roman"/>
            <w:sz w:val="18"/>
            <w:szCs w:val="18"/>
            <w:u w:val="single" w:color="auto"/>
            <w:color w:val="0000EE"/>
          </w:rPr>
          <w:t>May 14, 2026</w:t>
        </w:r>
      </w:hyperlink>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41">
        <w:r>
          <w:rPr>
            <w:rFonts w:ascii="Times New Roman" w:cs="Times New Roman" w:eastAsia="Times New Roman" w:hAnsi="Times New Roman"/>
            <w:sz w:val="18"/>
            <w:szCs w:val="18"/>
            <w:u w:val="single" w:color="auto"/>
            <w:color w:val="0000EE"/>
          </w:rPr>
          <w:t>April 16,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left="700" w:right="79" w:hanging="330"/>
        <w:spacing w:after="0" w:line="277"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Quarterly Report on Form 10-Q, filed by the Company with the SEC on May 14, 2026.</w:t>
      </w:r>
    </w:p>
    <w:p>
      <w:pPr>
        <w:spacing w:after="0" w:line="163" w:lineRule="exact"/>
        <w:rPr>
          <w:rFonts w:ascii="Times New Roman" w:cs="Times New Roman" w:eastAsia="Times New Roman" w:hAnsi="Times New Roman"/>
          <w:sz w:val="18"/>
          <w:szCs w:val="18"/>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9" w:lineRule="exact"/>
        <w:rPr>
          <w:rFonts w:ascii="Times New Roman" w:cs="Times New Roman" w:eastAsia="Times New Roman" w:hAnsi="Times New Roman"/>
          <w:sz w:val="18"/>
          <w:szCs w:val="18"/>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Commission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ectPr>
          <w:pgSz w:w="11900" w:h="16838" w:orient="portrait"/>
          <w:cols w:equalWidth="0" w:num="1">
            <w:col w:w="9019"/>
          </w:cols>
          <w:pgMar w:left="1440" w:top="121" w:right="1440" w:bottom="1440" w:gutter="0" w:footer="0" w:header="0"/>
        </w:sectPr>
      </w:pPr>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1"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(i) for any breach of the director’s or officer’s duty of loyalty to the corporation or its stockholders, (ii) for acts or omissions not in good faith or which involve intentional misconduct or a knowing violation of law, (iii) under Section 174 of the DGCL, or (iv) for any transaction from which the director or officer derived an improper personal benefit.</w:t>
      </w:r>
    </w:p>
    <w:p>
      <w:pPr>
        <w:spacing w:after="0" w:line="187"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8"/>
          <w:szCs w:val="18"/>
          <w:color w:val="auto"/>
        </w:rPr>
        <w:t>Additionally, our Certificate of Incorporation limits the liability of our directors to the fullest extent permitted by the DGCL, and our Bylaws provide that we will indemnify them to the fullest extent permitted by such law. We have entered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The issuance of certain of the Shares being offered by the Form S-8 resale prospectus was exempt from registration under the Securities Act in reliance upon Section 4(a)(2) of the Securities Act (or Regulation D or Regulation S promulgated thereunder) as transactions by an issuer not involving any public offering or in reliance upon Rule 701 promulgated under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1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4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174"/>
        </w:trPr>
        <w:tc>
          <w:tcPr>
            <w:tcW w:w="70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20" w:type="dxa"/>
            <w:vAlign w:val="bottom"/>
            <w:tcBorders>
              <w:top w:val="single" w:sz="8" w:color="auto"/>
              <w:bottom w:val="single" w:sz="8" w:color="0000EE"/>
            </w:tcBorders>
            <w:gridSpan w:val="11"/>
          </w:tcPr>
          <w:p>
            <w:pPr>
              <w:spacing w:after="0" w:line="174"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Composite Certificate of Incorporation of Terrestrial Energy Inc. (as amended through March 27, 2026)</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herein by reference to Exhibit 3.1 filed with the Annual Report on Form 10-K filed by the</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Registrant on March 30, 2026).</w:t>
              </w:r>
            </w:hyperlink>
          </w:p>
        </w:tc>
        <w:tc>
          <w:tcPr>
            <w:tcW w:w="5780" w:type="dxa"/>
            <w:vAlign w:val="bottom"/>
            <w:gridSpan w:val="7"/>
          </w:tcPr>
          <w:p>
            <w:pPr>
              <w:spacing w:after="0"/>
              <w:rPr>
                <w:sz w:val="16"/>
                <w:szCs w:val="16"/>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Composite Bylaws of Terrestrial Energy Inc. (as amended through October 28, 2026) (incorporated herein by</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11"/>
          </w:tcPr>
          <w:p>
            <w:pPr>
              <w:spacing w:after="0" w:line="194"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reference to Exhibit 3.2 filed with the Annual Report on Form 10-K filed by the Registrant on March 30, 2026).</w:t>
              </w:r>
            </w:hyperlink>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Opinion of Bryan Cave Leighton Paisner LLP.</w:t>
            </w:r>
          </w:p>
        </w:tc>
        <w:tc>
          <w:tcPr>
            <w:tcW w:w="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Terrestrial Energy Inc. 2025 Equity Incentive Plan, dated as of October 28, 2025 (incorporated herein by</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reference to Exhibit 10.9 filed with the Current Report on Form 8-K (Reg. No. 001-42252) filed by the</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registrant on November 3, 2025).</w:t>
              </w:r>
            </w:hyperlink>
          </w:p>
        </w:tc>
        <w:tc>
          <w:tcPr>
            <w:tcW w:w="5640" w:type="dxa"/>
            <w:vAlign w:val="bottom"/>
            <w:gridSpan w:val="6"/>
          </w:tcPr>
          <w:p>
            <w:pPr>
              <w:spacing w:after="0"/>
              <w:rPr>
                <w:sz w:val="16"/>
                <w:szCs w:val="16"/>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Terrestrial Energy Inc. Second Amended and Restated 2024 Stock Option Plan. (incorporated herein by</w:t>
              </w:r>
            </w:hyperlink>
          </w:p>
        </w:tc>
      </w:tr>
      <w:tr>
        <w:trPr>
          <w:trHeight w:val="194"/>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reference to Exhibit 10.2 filed with the Current Report on Form S-8 filed by the registrant on January 5, 2026)</w:t>
              </w:r>
            </w:hyperlink>
          </w:p>
        </w:tc>
        <w:tc>
          <w:tcPr>
            <w:tcW w:w="160" w:type="dxa"/>
            <w:vAlign w:val="bottom"/>
            <w:gridSpan w:val="2"/>
          </w:tcPr>
          <w:p>
            <w:pPr>
              <w:spacing w:after="0"/>
              <w:rPr>
                <w:sz w:val="16"/>
                <w:szCs w:val="16"/>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UHY LLP.</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Bryan Cave Leighton Paisner (included in Exhibit 5.1 to this Registration Statement).</w:t>
            </w:r>
          </w:p>
        </w:tc>
        <w:tc>
          <w:tcPr>
            <w:tcW w:w="1100" w:type="dxa"/>
            <w:vAlign w:val="bottom"/>
            <w:gridSpan w:val="3"/>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2160" w:type="dxa"/>
            <w:vAlign w:val="bottom"/>
            <w:gridSpan w:val="4"/>
          </w:tcPr>
          <w:p>
            <w:pPr>
              <w:spacing w:after="0"/>
              <w:rPr>
                <w:sz w:val="24"/>
                <w:szCs w:val="24"/>
                <w:color w:val="auto"/>
              </w:rPr>
            </w:pPr>
          </w:p>
        </w:tc>
      </w:tr>
      <w:tr>
        <w:trPr>
          <w:trHeight w:val="127"/>
        </w:trPr>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top w:val="single" w:sz="8" w:color="0000EE"/>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75" w:lineRule="exact"/>
        <w:rPr>
          <w:sz w:val="20"/>
          <w:szCs w:val="20"/>
          <w:color w:val="auto"/>
        </w:rPr>
      </w:pPr>
    </w:p>
    <w:p>
      <w:pPr>
        <w:ind w:left="380" w:hanging="331"/>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0" w:lineRule="exact"/>
        <w:rPr>
          <w:sz w:val="20"/>
          <w:szCs w:val="20"/>
          <w:color w:val="auto"/>
        </w:rPr>
      </w:pPr>
    </w:p>
    <w:p>
      <w:pPr>
        <w:ind w:left="380" w:right="579" w:hanging="331"/>
        <w:spacing w:after="0" w:line="277"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63" w:lineRule="exact"/>
        <w:rPr>
          <w:rFonts w:ascii="Times New Roman" w:cs="Times New Roman" w:eastAsia="Times New Roman" w:hAnsi="Times New Roman"/>
          <w:sz w:val="18"/>
          <w:szCs w:val="18"/>
          <w:color w:val="auto"/>
        </w:rPr>
      </w:pPr>
    </w:p>
    <w:p>
      <w:pPr>
        <w:ind w:left="700" w:hanging="330"/>
        <w:spacing w:after="0"/>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700" w:right="79" w:hanging="330"/>
        <w:spacing w:after="0" w:line="252"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700" w:right="79" w:hanging="330"/>
        <w:spacing w:after="0" w:line="277"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jc w:val="both"/>
        <w:ind w:left="380" w:right="79" w:hanging="331"/>
        <w:spacing w:after="0" w:line="26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rFonts w:ascii="Times New Roman" w:cs="Times New Roman" w:eastAsia="Times New Roman" w:hAnsi="Times New Roman"/>
          <w:sz w:val="18"/>
          <w:szCs w:val="18"/>
          <w:color w:val="auto"/>
        </w:rPr>
      </w:pPr>
    </w:p>
    <w:p>
      <w:pPr>
        <w:ind w:left="380" w:right="79" w:hanging="331"/>
        <w:spacing w:after="0" w:line="277"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left="380" w:right="79" w:hanging="331"/>
        <w:spacing w:after="0" w:line="253"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Times New Roman" w:cs="Times New Roman" w:eastAsia="Times New Roman" w:hAnsi="Times New Roman"/>
          <w:sz w:val="18"/>
          <w:szCs w:val="18"/>
          <w:color w:val="auto"/>
        </w:rPr>
      </w:pPr>
    </w:p>
    <w:p>
      <w:pPr>
        <w:jc w:val="both"/>
        <w:ind w:left="380" w:right="79" w:hanging="331"/>
        <w:spacing w:after="0" w:line="25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Charlotte, State of North Carolina, on May 19, 2026.</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131" w:lineRule="exact"/>
        <w:rPr>
          <w:sz w:val="20"/>
          <w:szCs w:val="20"/>
          <w:color w:val="auto"/>
        </w:rPr>
      </w:pPr>
    </w:p>
    <w:p>
      <w:pPr>
        <w:ind w:left="400"/>
        <w:spacing w:after="0"/>
        <w:tabs>
          <w:tab w:leader="none" w:pos="900" w:val="left"/>
        </w:tabs>
        <w:rPr>
          <w:sz w:val="20"/>
          <w:szCs w:val="20"/>
          <w:color w:val="auto"/>
        </w:rPr>
      </w:pPr>
      <w:r>
        <w:rPr>
          <w:rFonts w:ascii="Times New Roman" w:cs="Times New Roman" w:eastAsia="Times New Roman" w:hAnsi="Times New Roman"/>
          <w:sz w:val="18"/>
          <w:szCs w:val="18"/>
          <w:color w:val="auto"/>
        </w:rPr>
        <w:t>By:</w:t>
        <w:tab/>
        <w:t>/s/ Brian Thrasher</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Brian Thrasher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-122555</wp:posOffset>
            </wp:positionV>
            <wp:extent cx="5106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106670" cy="8255"/>
                    </a:xfrm>
                    <a:prstGeom prst="rect">
                      <a:avLst/>
                    </a:prstGeom>
                    <a:noFill/>
                  </pic:spPr>
                </pic:pic>
              </a:graphicData>
            </a:graphic>
          </wp:anchor>
        </w:drawing>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Simon Irish, Brian Thrasher and Steven Millsap and each of them singly (with full power to each of them to act alone), the individual’s true and lawful attorneys-in-fact and agents, with full power of substitution and resubstitution in each of them, for the person and in his or her name, place and stead, and in any and all capacities, to sign any and all amendments or supplements to this Registration Statement, including any post-effective amendments,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79" w:lineRule="exact"/>
        <w:rPr>
          <w:sz w:val="20"/>
          <w:szCs w:val="20"/>
          <w:color w:val="auto"/>
        </w:rPr>
      </w:pPr>
    </w:p>
    <w:p>
      <w:pPr>
        <w:jc w:val="both"/>
        <w:ind w:left="40" w:right="7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2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01"/>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Irish</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Simon Irish</w:t>
            </w:r>
          </w:p>
        </w:tc>
        <w:tc>
          <w:tcPr>
            <w:tcW w:w="1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Thrasher</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Brian Thrasher</w:t>
            </w:r>
          </w:p>
        </w:tc>
        <w:tc>
          <w:tcPr>
            <w:tcW w:w="1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and Accounting Officer</w:t>
            </w:r>
            <w:r>
              <w:rPr>
                <w:rFonts w:ascii="Times New Roman" w:cs="Times New Roman" w:eastAsia="Times New Roman" w:hAnsi="Times New Roman"/>
                <w:sz w:val="18"/>
                <w:szCs w:val="18"/>
                <w:color w:val="auto"/>
                <w:w w:val="98"/>
              </w:rPr>
              <w:t>)</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Buckman</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Frederick Buckman</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Matthews</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Shawn Matthews</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MacDiarmid</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Hugh MacDiarmid</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Hill</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David Hill</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Pardee</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Charles Pardee</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Jones</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Robert W. Jones</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Johnson</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William Johnson</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LeBlanc</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Technology Officer and Director</w:t>
            </w: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David LeBlanc</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83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jc w:val="right"/>
              <w:ind w:right="22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54"/>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154305</wp:posOffset>
            </wp:positionV>
            <wp:extent cx="1221740" cy="466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2174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19, 2026</w:t>
            </w:r>
          </w:p>
        </w:tc>
        <w:tc>
          <w:tcPr>
            <w:tcW w:w="474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w w:val="96"/>
              </w:rPr>
              <w:t>BRYAN CAVE LEIGHTON PAISNER LLP</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Terrestrial Energy Inc.</w:t>
            </w: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One Atlantic Center 14th Floor</w:t>
            </w: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2730 W. Tyvola Road, Suite 100,</w:t>
            </w: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1201 W Peachtree St NW</w:t>
            </w: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Charlotte, NC 28217</w:t>
            </w: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Atlanta GA 30309 3471</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 +1 404 572 6600</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 +1 404 572 6999</w:t>
            </w:r>
          </w:p>
        </w:tc>
        <w:tc>
          <w:tcPr>
            <w:tcW w:w="0" w:type="dxa"/>
            <w:vAlign w:val="bottom"/>
          </w:tcPr>
          <w:p>
            <w:pPr>
              <w:spacing w:after="0"/>
              <w:rPr>
                <w:sz w:val="1"/>
                <w:szCs w:val="1"/>
                <w:color w:val="auto"/>
              </w:rPr>
            </w:pPr>
          </w:p>
        </w:tc>
      </w:tr>
      <w:tr>
        <w:trPr>
          <w:trHeight w:val="307"/>
        </w:trPr>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740" w:type="dxa"/>
            <w:vAlign w:val="bottom"/>
          </w:tcPr>
          <w:p>
            <w:pPr>
              <w:ind w:left="1560"/>
              <w:spacing w:after="0"/>
              <w:rPr>
                <w:sz w:val="20"/>
                <w:szCs w:val="20"/>
                <w:color w:val="auto"/>
              </w:rPr>
            </w:pPr>
            <w:r>
              <w:rPr>
                <w:rFonts w:ascii="Times New Roman" w:cs="Times New Roman" w:eastAsia="Times New Roman" w:hAnsi="Times New Roman"/>
                <w:sz w:val="18"/>
                <w:szCs w:val="18"/>
                <w:color w:val="FF5519"/>
              </w:rPr>
              <w:t>bclplaw.com</w:t>
            </w:r>
          </w:p>
        </w:tc>
        <w:tc>
          <w:tcPr>
            <w:tcW w:w="0" w:type="dxa"/>
            <w:vAlign w:val="bottom"/>
          </w:tcPr>
          <w:p>
            <w:pPr>
              <w:spacing w:after="0"/>
              <w:rPr>
                <w:sz w:val="1"/>
                <w:szCs w:val="1"/>
                <w:color w:val="auto"/>
              </w:rPr>
            </w:pPr>
          </w:p>
        </w:tc>
      </w:tr>
      <w:tr>
        <w:trPr>
          <w:trHeight w:val="405"/>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acted as special counsel to Terrestrial Energy Inc., a Delaware corporation (the “Company”), in connection with a Registration Statement on Form S-8 (the “Registration Statement”), being filed by the Company on the date hereof with the Securities and Exchange Commission (the “SEC”) under the Securities Act of 1933, as amended (the “Securities Act”), relating to the registration of up to 11,783,395 shares (the “Shares”) of Common Stock, $0.0001 par value per share (the “Common Stock”), which may be issued pursuant to the Company’s Second Amended and Restated 2024 Stock Option Plan (the “2024 Plan”) and the 2025 Equity Incentive Plan (the “2025 Plan”) and the individual restricted stock unit award agreement referenced in the Registration Statement (the “RSU Agreement, and together with the 2024 Plan and the 2025 Plan, the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herewith, we have examined:</w:t>
      </w:r>
    </w:p>
    <w:p>
      <w:pPr>
        <w:spacing w:after="0" w:line="220" w:lineRule="exact"/>
        <w:rPr>
          <w:sz w:val="20"/>
          <w:szCs w:val="20"/>
          <w:color w:val="auto"/>
        </w:rPr>
      </w:pPr>
    </w:p>
    <w:p>
      <w:pPr>
        <w:ind w:left="820" w:hanging="81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0" w:lineRule="exact"/>
        <w:rPr>
          <w:rFonts w:ascii="Times New Roman" w:cs="Times New Roman" w:eastAsia="Times New Roman" w:hAnsi="Times New Roman"/>
          <w:sz w:val="18"/>
          <w:szCs w:val="18"/>
          <w:color w:val="auto"/>
        </w:rPr>
      </w:pPr>
    </w:p>
    <w:p>
      <w:pPr>
        <w:ind w:left="820" w:hanging="81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w:t>
      </w:r>
    </w:p>
    <w:p>
      <w:pPr>
        <w:spacing w:after="0" w:line="220" w:lineRule="exact"/>
        <w:rPr>
          <w:rFonts w:ascii="Times New Roman" w:cs="Times New Roman" w:eastAsia="Times New Roman" w:hAnsi="Times New Roman"/>
          <w:sz w:val="18"/>
          <w:szCs w:val="18"/>
          <w:color w:val="auto"/>
        </w:rPr>
      </w:pPr>
    </w:p>
    <w:p>
      <w:pPr>
        <w:ind w:left="820" w:hanging="81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the Company, as amended; and</w:t>
      </w:r>
    </w:p>
    <w:p>
      <w:pPr>
        <w:spacing w:after="0" w:line="220" w:lineRule="exact"/>
        <w:rPr>
          <w:rFonts w:ascii="Times New Roman" w:cs="Times New Roman" w:eastAsia="Times New Roman" w:hAnsi="Times New Roman"/>
          <w:sz w:val="18"/>
          <w:szCs w:val="18"/>
          <w:color w:val="auto"/>
        </w:rPr>
      </w:pPr>
    </w:p>
    <w:p>
      <w:pPr>
        <w:ind w:left="820" w:hanging="81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598805</wp:posOffset>
            </wp:positionV>
            <wp:extent cx="63023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30237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Terrestrial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-119380</wp:posOffset>
            </wp:positionV>
            <wp:extent cx="1221740" cy="466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21740" cy="4667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documents, all of the signatories to such documents have been duly authorized and all such parties are duly organized and validly existing and have the power and authority (corporate or other) to execute, deliver and perform such documents.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we are of the opinion that the Shares have been duly authorized for issuance and upon issuance and delivery of the Shares upon payment therefor, in accordance with the terms of the Plans and any relevant agreements thereunder, the Shares will be validly issued, fully paid and non-assessable.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rendering the opinion stated herein, we have also assumed that: (a) each award agreement under which options and/or restricted stock units are granted pursuant to the Plans will be consistent with the applicable Plan and will be duly authorized, executed and delivered by the parties thereto, and (b) the consideration received by the Company for each of the Shares delivered pursuant to the Plans shall not be less than the per share par value of the Shares.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opinion letter is being delivered by us in connection with the filing of the Registration Statement with the SEC. We do not render any opinions except as set forth above. We hereby consent to the filing of this opinion letter as Exhibit 5.1 to the Registration Statement. We also consent to your filing copies of this opinion letter as an exhibit to the Registration Statement with such agencies of such jurisdictions as you deem necessary in the course of complying with the laws of such jurisdictions regarding the offering and sale of the Shares. In giving such consent, we do not thereby concede that we are within the category of persons whose consent is required under Section 7 of the Securities Act or the rules and regulations of the SEC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Cave Leighton Paisner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630237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302375" cy="25400"/>
                    </a:xfrm>
                    <a:prstGeom prst="rect">
                      <a:avLst/>
                    </a:prstGeom>
                    <a:noFill/>
                  </pic:spPr>
                </pic:pic>
              </a:graphicData>
            </a:graphic>
          </wp:anchor>
        </w:drawing>
      </w:r>
    </w:p>
    <w:p>
      <w:pPr>
        <w:sectPr>
          <w:pgSz w:w="11900" w:h="16838" w:orient="portrait"/>
          <w:cols w:equalWidth="0" w:num="1">
            <w:col w:w="9920"/>
          </w:cols>
          <w:pgMar w:left="980" w:top="335" w:right="99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FIRM’S CONSENT</w:t>
      </w:r>
    </w:p>
    <w:p>
      <w:pPr>
        <w:spacing w:after="0" w:line="2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hereby consent to the incorporation by reference in this Registration Statement on Form S-8 of Terrestrial Energy, Inc. (the “Company”) of our report dated March 30, 2026 with respect to our audits of the consolidated financial statements of the Company as of December 31, 2025 and 2024 and for the years then ended.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UHY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Melville,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3023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30237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 w:name="page25"/>
    <w:bookmarkEnd w:id="24"/>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Terrestrial Energy Inc. /DE/</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1,232,794</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$ 7.68</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$ 9,467,857.92</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$ 1,307.51</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$ 9,467,857.92</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$ 1,307.51</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$ 1,307.51</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3" w:lineRule="auto"/>
        <w:rPr>
          <w:sz w:val="20"/>
          <w:szCs w:val="20"/>
          <w:color w:val="auto"/>
        </w:rPr>
      </w:pPr>
      <w:r>
        <w:rPr>
          <w:rFonts w:ascii="Arial" w:cs="Arial" w:eastAsia="Arial" w:hAnsi="Arial"/>
          <w:sz w:val="21"/>
          <w:szCs w:val="21"/>
          <w:color w:val="auto"/>
        </w:rPr>
        <w:t>Note 1.a Pursuant to Rule 416(a) under the Securities Act of 1933, as amended (the "Securities Act"), this registration statement shall also cover any additional shares of the Registrant's common stock, $0.0001 par value per share ("Common Stock") that may become issuable under the terms of (i) the Terrestrial Energy Inc. Second Amended and Restated 2024 Stock Option Plan (the "Legacy Plan") and</w:t>
      </w:r>
    </w:p>
    <w:p>
      <w:pPr>
        <w:spacing w:after="0" w:line="4" w:lineRule="exact"/>
        <w:rPr>
          <w:sz w:val="20"/>
          <w:szCs w:val="20"/>
          <w:color w:val="auto"/>
        </w:rPr>
      </w:pPr>
    </w:p>
    <w:p>
      <w:pPr>
        <w:ind w:left="800" w:right="880" w:firstLine="2"/>
        <w:spacing w:after="0" w:line="245" w:lineRule="auto"/>
        <w:tabs>
          <w:tab w:leader="none" w:pos="1097"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Terrestrial Energy Inc. 2025 Equity Incentive Plan (the "2025 Plan"), in each case by reason of any share split, share dividend, recapitalization or other similar transaction effected without the Company's receipt of consideration which results in an increase in the number of the outstanding shares of Common Stock.</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21"/>
          <w:szCs w:val="21"/>
          <w:color w:val="auto"/>
        </w:rPr>
        <w:t>Note 1.b Estimated solely for the purpose of calculating the registration fee pursuant to Rule 457(c) and</w:t>
      </w:r>
    </w:p>
    <w:p>
      <w:pPr>
        <w:spacing w:after="0" w:line="19" w:lineRule="exact"/>
        <w:rPr>
          <w:sz w:val="20"/>
          <w:szCs w:val="20"/>
          <w:color w:val="auto"/>
        </w:rPr>
      </w:pPr>
    </w:p>
    <w:p>
      <w:pPr>
        <w:ind w:left="800" w:right="1100" w:firstLine="2"/>
        <w:spacing w:after="0" w:line="258" w:lineRule="auto"/>
        <w:tabs>
          <w:tab w:leader="none" w:pos="1121" w:val="left"/>
        </w:tabs>
        <w:numPr>
          <w:ilvl w:val="0"/>
          <w:numId w:val="20"/>
        </w:numPr>
        <w:rPr>
          <w:rFonts w:ascii="Arial" w:cs="Arial" w:eastAsia="Arial" w:hAnsi="Arial"/>
          <w:sz w:val="21"/>
          <w:szCs w:val="21"/>
          <w:color w:val="auto"/>
        </w:rPr>
      </w:pPr>
      <w:r>
        <w:rPr>
          <w:rFonts w:ascii="Arial" w:cs="Arial" w:eastAsia="Arial" w:hAnsi="Arial"/>
          <w:sz w:val="21"/>
          <w:szCs w:val="21"/>
          <w:color w:val="auto"/>
        </w:rPr>
        <w:t>under the Securities Act, based on the average of the high and low sales prices of the Common Stock on the Nasdaq Stock Market on May 14, 2026.</w:t>
      </w:r>
    </w:p>
    <w:p>
      <w:pPr>
        <w:spacing w:after="0" w:line="182" w:lineRule="exact"/>
        <w:rPr>
          <w:sz w:val="20"/>
          <w:szCs w:val="20"/>
          <w:color w:val="auto"/>
        </w:rPr>
      </w:pPr>
    </w:p>
    <w:p>
      <w:pPr>
        <w:ind w:left="800" w:right="660"/>
        <w:spacing w:after="0" w:line="246" w:lineRule="auto"/>
        <w:rPr>
          <w:sz w:val="20"/>
          <w:szCs w:val="20"/>
          <w:color w:val="auto"/>
        </w:rPr>
      </w:pPr>
      <w:r>
        <w:rPr>
          <w:rFonts w:ascii="Arial" w:cs="Arial" w:eastAsia="Arial" w:hAnsi="Arial"/>
          <w:sz w:val="21"/>
          <w:szCs w:val="21"/>
          <w:color w:val="auto"/>
        </w:rPr>
        <w:t>Note 1.c This Registration Statement registers the resale of up to 11,783,395 shares of Common Stock by certain selling stockholders identified in the Reoffer Prospectus included in and filed with the Registration Statement. The fees for 10,550,601 of the shares covered by the Reoffer Prospectus have been previously paid in connection with a Registration Statement on Form S-8, filed on January 5, 2026 (File No. 333-292571), for which no additional registration fee is required pursuant to Rule 457(h)(3) under the Securities Act and therefore are not included in the table above.</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21"/>
          <w:szCs w:val="21"/>
          <w:color w:val="auto"/>
        </w:rPr>
        <w:t>Note 1.d The Registrant does not have any fee offsets to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105410</wp:posOffset>
            </wp:positionV>
            <wp:extent cx="6387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646"/>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lvl w:ilvl="1">
      <w:lvlJc w:val="left"/>
      <w:lvlText w:val="(%2)"/>
      <w:numFmt w:val="lowerRoman"/>
      <w:start w:val="2"/>
    </w:lvl>
  </w:abstractNum>
  <w:abstractNum w:abstractNumId="7">
    <w:nsid w:val="DED7263"/>
    <w:multiLevelType w:val="hybridMultilevel"/>
    <w:lvl w:ilvl="0">
      <w:lvlJc w:val="left"/>
      <w:lvlText w:val="(%1)"/>
      <w:numFmt w:val="decimal"/>
      <w:start w:val="14"/>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Roman"/>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jpeg"/><Relationship Id="rId56" Type="http://schemas.openxmlformats.org/officeDocument/2006/relationships/image" Target="media/image39.png"/><Relationship Id="rId57" Type="http://schemas.openxmlformats.org/officeDocument/2006/relationships/image" Target="media/image40.jpe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31" Type="http://schemas.openxmlformats.org/officeDocument/2006/relationships/hyperlink" Target="https://www.sec.gov/ix?doc=/Archives/edgar/data/2019804/000110465926036846/tmb-20251231x10k.htm" TargetMode="External"/><Relationship Id="rId39" Type="http://schemas.openxmlformats.org/officeDocument/2006/relationships/hyperlink" Target="https://www.sec.gov/ix?doc=/Archives/edgar/data/2019804/000110465926051655/tmb-20260611xdef14a.htm" TargetMode="External"/><Relationship Id="rId40" Type="http://schemas.openxmlformats.org/officeDocument/2006/relationships/hyperlink" Target="https://www.sec.gov/ix?doc=/Archives/edgar/data/2019804/000110465926061234/tmb-20260331x10q.htm" TargetMode="External"/><Relationship Id="rId41" Type="http://schemas.openxmlformats.org/officeDocument/2006/relationships/hyperlink" Target="https://www.sec.gov/ix?doc=/Archives/edgar/data/2019804/000110465926044426/tmb-20260416x8k.htm" TargetMode="External"/><Relationship Id="rId42" Type="http://schemas.openxmlformats.org/officeDocument/2006/relationships/hyperlink" Target="https://www.sec.gov/ix?doc=/Archives/edgar/data/2019804/000110465926057977/tmb-20260505x8k.htm" TargetMode="External"/><Relationship Id="rId43" Type="http://schemas.openxmlformats.org/officeDocument/2006/relationships/hyperlink" Target="https://www.sec.gov/Archives/edgar/data/2019804/000110465926061234/tmb-20260331xex4d1.htm" TargetMode="External"/><Relationship Id="rId48" Type="http://schemas.openxmlformats.org/officeDocument/2006/relationships/hyperlink" Target="https://www.sec.gov/Archives/edgar/data/2019804/000110465926036846/tmb-20251231xex3d1.htm" TargetMode="External"/><Relationship Id="rId49" Type="http://schemas.openxmlformats.org/officeDocument/2006/relationships/hyperlink" Target="https://www.sec.gov/Archives/edgar/data/2019804/000110465926036846/tmb-20251231xex3d2.htm" TargetMode="External"/><Relationship Id="rId50" Type="http://schemas.openxmlformats.org/officeDocument/2006/relationships/hyperlink" Target="https://www.sec.gov/Archives/edgar/data/2019804/000121390025105304/ea026338601ex10-9_terres.htm" TargetMode="External"/><Relationship Id="rId51" Type="http://schemas.openxmlformats.org/officeDocument/2006/relationships/hyperlink" Target="https://www.sec.gov/Archives/edgar/data/2019804/000110465926000287/tm253429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2026-05-19T15:35:35Z</dcterms:created>
  <dcterms:modified xsi:type="dcterms:W3CDTF">2026-05-19T15:35:35Z</dcterms:modified>
</cp:coreProperties>
</file>