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sz w:val="20"/>
        </w:rPr>
      </w:pPr>
      <w:bookmarkStart w:id="0" w:name="tmb-20260514x424b3.htm"/>
      <w:bookmarkStart w:id="1" w:name="kstmb20260514x424b3"/>
      <w:bookmarkEnd w:id="0"/>
      <w:bookmarkEnd w:id="1"/>
      <w:r>
        <w:rPr>
          <w:rFonts w:ascii="Times New Roman;Times;serif" w:hAnsi="Times New Roman;Times;serif"/>
          <w:b/>
          <w:sz w:val="20"/>
        </w:rPr>
        <w:t>Filed Pursuant to Rule 424(b)(3)</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Registration No. 333-291796</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PROSPECTUS SUPPLEMENT No. 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(to Prospectus dated December 30,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PROSPECTUS FOR PRIMARY OFFERING OF UP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18,776,119 SHARES OF COMMON STOCK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SECONDARY OFFERING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18,792,599 SHARES OF COMMON STOCK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1,267,599 WARRANTS TO PURCHASE SHARES OF COMMON STOCK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Supplement No. 2 (this “Supplement No. 2”) updates, amends and supplements the prospectus dated December 30, 2025 (as supplemented or amended from time to time, the “Prospectus”), which forms a part of our Registration Statement on Form S-1 (Registration No. 333-291796, the “Form S-1”). Capitalized terms used in this prospectus supplement and not otherwise defined herein have the meanings specified in the Prospectus.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Supplement No. 2 is being filed to update, amend and supplement the information included in the Prospectus with information contained in our Quarterly Report on Form 10-Q filed with the SEC on May 14, 2026, which is set forth below. To the extent information in this Supplement No. 2 differs from, updates or conflicts with information contained in the Prospectus, the information in this Supplement No. 2 is the more current information. This Supplement No. 2 is not complete without the Prospectus. This Supplement No. 2 should be read in conjunction with the Prospectus, which is to be delivered with this Supplement No. 2, and is qualified by reference thereto, except to the extent that the information in this Supplement No. 2 updates or supersedes the information contained in the Prospectus. Please keep this prospectus supplement with the Prospectus for future reference.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Investing in our securities involves a high degree of risk. See “Risk Factors” beginning on page 12 of the Prospectus.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NEITHER THE SECURITIES AND EXCHANGE COMMISSION NOR ANY STATE SECURITIES REGULATORY AGENCY HAS APPROVED OR DISAPPROVED OF THE SECURITIES DESCRIBED IN THE PROSPECTUS OR THIS PROSPECTUS SUPPLEMENT OR PASSED UPON THE ADEQUACY OR ACCURACY OF THE DISCLOSURE IN THE PROSPECTUS OR THIS PROSPECTUS SUPPLEMENT. ANY REPRESENTATION TO THE CONTRARY CONSTITUTES A CRIMINAL OFFENSE.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date of this prospectus supplement is May 14, 2026.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23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March 31, 2026</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00"/>
        <w:ind w:left="0" w:right="0" w:hanging="0"/>
        <w:jc w:val="left"/>
        <w:rPr/>
      </w:pPr>
      <w:r>
        <w:rPr>
          <w:caps w:val="false"/>
          <w:smallCaps w:val="false"/>
        </w:rPr>
        <w:t>☐</w:t>
      </w:r>
      <w:r>
        <w:rPr>
          <w:rFonts w:ascii="Times New Roman;Times;serif" w:hAnsi="Times New Roman;Times;serif"/>
          <w:b/>
          <w:sz w:val="20"/>
        </w:rPr>
        <w:t>TRANSITION REPORT PURSUANT TO SECTION 13 OR 15(d) OF THE SECURITIES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001-42252</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TERRESTRIAL ENERGY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left"/>
        <w:rPr/>
      </w:pPr>
      <w:r>
        <w:rPr/>
        <w:t>​</w:t>
      </w:r>
    </w:p>
    <w:tbl>
      <w:tblPr>
        <w:tblW w:w="3047" w:type="dxa"/>
        <w:jc w:val="center"/>
        <w:tblInd w:w="0" w:type="dxa"/>
        <w:tblLayout w:type="fixed"/>
        <w:tblCellMar>
          <w:top w:w="0" w:type="dxa"/>
          <w:left w:w="0" w:type="dxa"/>
          <w:bottom w:w="0" w:type="dxa"/>
          <w:right w:w="0" w:type="dxa"/>
        </w:tblCellMar>
      </w:tblPr>
      <w:tblGrid>
        <w:gridCol w:w="1696"/>
        <w:gridCol w:w="1351"/>
      </w:tblGrid>
      <w:tr>
        <w:trPr/>
        <w:tc>
          <w:tcPr>
            <w:tcW w:w="169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98-1785406</w:t>
            </w:r>
          </w:p>
        </w:tc>
      </w:tr>
      <w:tr>
        <w:trPr/>
        <w:tc>
          <w:tcPr>
            <w:tcW w:w="16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2730 W. Tyvola Road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100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Charlotte, NC 28217</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(646) 687-8212</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w:t>
      </w:r>
    </w:p>
    <w:p>
      <w:pPr>
        <w:pStyle w:val="HorizontalLine"/>
        <w:pBdr>
          <w:bottom w:val="single" w:sz="6" w:space="0" w:color="000000"/>
        </w:pBdr>
        <w:bidi w:val="0"/>
        <w:spacing w:before="0" w:after="120"/>
        <w:ind w:left="3827" w:right="3827" w:hanging="0"/>
        <w:jc w:val="left"/>
        <w:rPr/>
      </w:pPr>
      <w:r>
        <w:rPr/>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6456"/>
        <w:gridCol w:w="1147"/>
        <w:gridCol w:w="2602"/>
      </w:tblGrid>
      <w:tr>
        <w:trPr/>
        <w:tc>
          <w:tcPr>
            <w:tcW w:w="6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1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26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64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11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IMSR</w:t>
            </w:r>
          </w:p>
        </w:tc>
        <w:tc>
          <w:tcPr>
            <w:tcW w:w="26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r>
        <w:trPr/>
        <w:tc>
          <w:tcPr>
            <w:tcW w:w="64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Redeemable Warrants, each whole warrant exercisable for one Common Stock at a price of $11.50 per share</w:t>
            </w:r>
          </w:p>
        </w:tc>
        <w:tc>
          <w:tcPr>
            <w:tcW w:w="11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IMSRW</w:t>
            </w:r>
          </w:p>
        </w:tc>
        <w:tc>
          <w:tcPr>
            <w:tcW w:w="26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6726" w:type="dxa"/>
        <w:jc w:val="center"/>
        <w:tblInd w:w="0" w:type="dxa"/>
        <w:tblLayout w:type="fixed"/>
        <w:tblCellMar>
          <w:top w:w="0" w:type="dxa"/>
          <w:left w:w="0" w:type="dxa"/>
          <w:bottom w:w="0" w:type="dxa"/>
          <w:right w:w="0" w:type="dxa"/>
        </w:tblCellMar>
      </w:tblPr>
      <w:tblGrid>
        <w:gridCol w:w="1666"/>
        <w:gridCol w:w="316"/>
        <w:gridCol w:w="2026"/>
        <w:gridCol w:w="316"/>
        <w:gridCol w:w="2041"/>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shell company (as defined in Rule 12b-2 of the Exchange Act).   Yes  ☐    No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May 6, 2026, there were 105,935,254 of the registrant’s ordinary shares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bookmarkStart w:id="2" w:name="TOC"/>
      <w:bookmarkEnd w:id="2"/>
    </w:p>
    <w:tbl>
      <w:tblPr>
        <w:tblW w:w="10205" w:type="dxa"/>
        <w:jc w:val="left"/>
        <w:tblInd w:w="0" w:type="dxa"/>
        <w:tblLayout w:type="fixed"/>
        <w:tblCellMar>
          <w:top w:w="0" w:type="dxa"/>
          <w:left w:w="0" w:type="dxa"/>
          <w:bottom w:w="0" w:type="dxa"/>
          <w:right w:w="0" w:type="dxa"/>
        </w:tblCellMar>
      </w:tblPr>
      <w:tblGrid>
        <w:gridCol w:w="1159"/>
        <w:gridCol w:w="8474"/>
        <w:gridCol w:w="572"/>
      </w:tblGrid>
      <w:tr>
        <w:trPr/>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35965" cy="175260"/>
                      <wp:effectExtent l="0" t="0" r="0" b="0"/>
                      <wp:wrapNone/>
                      <wp:docPr id="1" name="Frame1"/>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380990" cy="175260"/>
                      <wp:effectExtent l="0" t="0" r="0" b="0"/>
                      <wp:wrapNone/>
                      <wp:docPr id="2" name="Frame2"/>
                      <a:graphic xmlns:a="http://schemas.openxmlformats.org/drawingml/2006/main">
                        <a:graphicData uri="http://schemas.microsoft.com/office/word/2010/wordprocessingShape">
                          <wps:wsp>
                            <wps:cNvSpPr txBox="1"/>
                            <wps:spPr>
                              <a:xfrm>
                                <a:off x="0" y="0"/>
                                <a:ext cx="538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3220" cy="175260"/>
                      <wp:effectExtent l="0" t="0" r="0" b="0"/>
                      <wp:wrapNone/>
                      <wp:docPr id="3" name="Frame3"/>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PARTIFINANCIALINFORMATION_395275">
              <w:r>
                <w:rPr>
                  <w:rStyle w:val="InternetLink"/>
                  <w:rFonts w:ascii="Times New Roman;Times;serif" w:hAnsi="Times New Roman;Times;serif"/>
                  <w:b/>
                  <w:i w:val="false"/>
                  <w:caps w:val="false"/>
                  <w:smallCaps w:val="false"/>
                  <w:sz w:val="20"/>
                </w:rPr>
                <w:t>Part I</w:t>
              </w:r>
            </w:hyperlink>
          </w:p>
        </w:tc>
        <w:tc>
          <w:tcPr>
            <w:tcW w:w="8474" w:type="dxa"/>
            <w:tcBorders/>
            <w:vAlign w:val="center"/>
          </w:tcPr>
          <w:p>
            <w:pPr>
              <w:pStyle w:val="TableContents"/>
              <w:bidi w:val="0"/>
              <w:spacing w:before="0" w:after="0"/>
              <w:ind w:left="0" w:right="0" w:hanging="0"/>
              <w:jc w:val="left"/>
              <w:rPr/>
            </w:pPr>
            <w:hyperlink w:anchor="PARTIFINANCIALINFORMATION_395275">
              <w:r>
                <w:rPr>
                  <w:rStyle w:val="InternetLink"/>
                  <w:rFonts w:ascii="Times New Roman;Times;serif" w:hAnsi="Times New Roman;Times;serif"/>
                  <w:b/>
                  <w:i w:val="false"/>
                  <w:caps w:val="false"/>
                  <w:smallCaps w:val="false"/>
                  <w:sz w:val="20"/>
                </w:rPr>
                <w:t>Financial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r>
      <w:tr>
        <w:trPr/>
        <w:tc>
          <w:tcPr>
            <w:tcW w:w="1159" w:type="dxa"/>
            <w:tcBorders/>
            <w:vAlign w:val="center"/>
          </w:tcPr>
          <w:p>
            <w:pPr>
              <w:pStyle w:val="TableContents"/>
              <w:bidi w:val="0"/>
              <w:spacing w:before="0" w:after="0"/>
              <w:ind w:left="0" w:right="0" w:hanging="0"/>
              <w:jc w:val="left"/>
              <w:rPr/>
            </w:pPr>
            <w:hyperlink w:anchor="Item1FinancialStatements_866050">
              <w:r>
                <w:rPr>
                  <w:rStyle w:val="InternetLink"/>
                  <w:rFonts w:ascii="Times New Roman;Times;serif" w:hAnsi="Times New Roman;Times;serif"/>
                  <w:b w:val="false"/>
                  <w:i w:val="false"/>
                  <w:caps w:val="false"/>
                  <w:smallCaps w:val="false"/>
                  <w:sz w:val="20"/>
                </w:rPr>
                <w:t>Item 1.</w:t>
              </w:r>
            </w:hyperlink>
          </w:p>
        </w:tc>
        <w:tc>
          <w:tcPr>
            <w:tcW w:w="8474" w:type="dxa"/>
            <w:tcBorders/>
            <w:vAlign w:val="center"/>
          </w:tcPr>
          <w:p>
            <w:pPr>
              <w:pStyle w:val="TableContents"/>
              <w:bidi w:val="0"/>
              <w:spacing w:before="0" w:after="0"/>
              <w:ind w:left="0" w:right="0" w:hanging="0"/>
              <w:jc w:val="left"/>
              <w:rPr/>
            </w:pPr>
            <w:hyperlink w:anchor="Item1FinancialStatements_866050">
              <w:r>
                <w:rPr>
                  <w:rStyle w:val="InternetLink"/>
                  <w:rFonts w:ascii="Times New Roman;Times;serif" w:hAnsi="Times New Roman;Times;serif"/>
                  <w:b w:val="false"/>
                  <w:i w:val="false"/>
                  <w:caps w:val="false"/>
                  <w:smallCaps w:val="false"/>
                  <w:sz w:val="20"/>
                </w:rPr>
                <w:t>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hyperlink w:anchor="CondensedConsolidatedBalanceSheets_37183">
              <w:r>
                <w:rPr>
                  <w:rStyle w:val="InternetLink"/>
                  <w:rFonts w:ascii="Times New Roman;Times;serif" w:hAnsi="Times New Roman;Times;serif"/>
                  <w:b w:val="false"/>
                  <w:i w:val="false"/>
                  <w:caps w:val="false"/>
                  <w:smallCaps w:val="false"/>
                  <w:sz w:val="20"/>
                </w:rPr>
                <w:t>Condensed Consolidated Balance Sheets as of March 31, 2026 and December 31,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 31,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Stockholders’ Equity (Deficit) for the three months ended March 31,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hyperlink w:anchor="Notes_Start">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47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47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4ControlsandProcedures_598182">
              <w:r>
                <w:rPr>
                  <w:rStyle w:val="InternetLink"/>
                  <w:rFonts w:ascii="Times New Roman;Times;serif" w:hAnsi="Times New Roman;Times;serif"/>
                  <w:b w:val="false"/>
                  <w:i w:val="false"/>
                  <w:caps w:val="false"/>
                  <w:smallCaps w:val="false"/>
                  <w:sz w:val="20"/>
                </w:rPr>
                <w:t>Item 4.</w:t>
              </w:r>
            </w:hyperlink>
          </w:p>
        </w:tc>
        <w:tc>
          <w:tcPr>
            <w:tcW w:w="8474" w:type="dxa"/>
            <w:tcBorders/>
            <w:vAlign w:val="center"/>
          </w:tcPr>
          <w:p>
            <w:pPr>
              <w:pStyle w:val="TableContents"/>
              <w:bidi w:val="0"/>
              <w:spacing w:before="0" w:after="0"/>
              <w:ind w:left="0" w:right="0" w:hanging="0"/>
              <w:jc w:val="left"/>
              <w:rPr/>
            </w:pPr>
            <w:hyperlink w:anchor="Item4ControlsandProcedures_598182">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PARTIIOTHERINFORMATION_690738">
              <w:r>
                <w:rPr>
                  <w:rStyle w:val="InternetLink"/>
                  <w:rFonts w:ascii="Times New Roman;Times;serif" w:hAnsi="Times New Roman;Times;serif"/>
                  <w:b/>
                  <w:i w:val="false"/>
                  <w:caps w:val="false"/>
                  <w:smallCaps w:val="false"/>
                  <w:sz w:val="20"/>
                </w:rPr>
                <w:t>Part II</w:t>
              </w:r>
            </w:hyperlink>
          </w:p>
        </w:tc>
        <w:tc>
          <w:tcPr>
            <w:tcW w:w="8474" w:type="dxa"/>
            <w:tcBorders/>
            <w:vAlign w:val="center"/>
          </w:tcPr>
          <w:p>
            <w:pPr>
              <w:pStyle w:val="TableContents"/>
              <w:bidi w:val="0"/>
              <w:spacing w:before="0" w:after="0"/>
              <w:ind w:left="0" w:right="0" w:hanging="0"/>
              <w:jc w:val="left"/>
              <w:rPr/>
            </w:pPr>
            <w:hyperlink w:anchor="PARTIIOTHERINFORMATION_690738">
              <w:r>
                <w:rPr>
                  <w:rStyle w:val="InternetLink"/>
                  <w:rFonts w:ascii="Times New Roman;Times;serif" w:hAnsi="Times New Roman;Times;serif"/>
                  <w:b/>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1LegalProceedings_371811">
              <w:r>
                <w:rPr>
                  <w:rStyle w:val="InternetLink"/>
                  <w:rFonts w:ascii="Times New Roman;Times;serif" w:hAnsi="Times New Roman;Times;serif"/>
                  <w:b w:val="false"/>
                  <w:i w:val="false"/>
                  <w:caps w:val="false"/>
                  <w:smallCaps w:val="false"/>
                  <w:sz w:val="20"/>
                </w:rPr>
                <w:t>Item 1.</w:t>
              </w:r>
            </w:hyperlink>
          </w:p>
        </w:tc>
        <w:tc>
          <w:tcPr>
            <w:tcW w:w="8474" w:type="dxa"/>
            <w:tcBorders/>
            <w:vAlign w:val="center"/>
          </w:tcPr>
          <w:p>
            <w:pPr>
              <w:pStyle w:val="TableContents"/>
              <w:bidi w:val="0"/>
              <w:spacing w:before="0" w:after="0"/>
              <w:ind w:left="0" w:right="0" w:hanging="0"/>
              <w:jc w:val="left"/>
              <w:rPr/>
            </w:pPr>
            <w:hyperlink w:anchor="Item1LegalProceedings_371811">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1ARiskFactors_559442">
              <w:r>
                <w:rPr>
                  <w:rStyle w:val="InternetLink"/>
                  <w:rFonts w:ascii="Times New Roman;Times;serif" w:hAnsi="Times New Roman;Times;serif"/>
                  <w:b w:val="false"/>
                  <w:i w:val="false"/>
                  <w:caps w:val="false"/>
                  <w:smallCaps w:val="false"/>
                  <w:sz w:val="20"/>
                </w:rPr>
                <w:t>Item 1A.</w:t>
              </w:r>
            </w:hyperlink>
          </w:p>
        </w:tc>
        <w:tc>
          <w:tcPr>
            <w:tcW w:w="8474" w:type="dxa"/>
            <w:tcBorders/>
            <w:vAlign w:val="center"/>
          </w:tcPr>
          <w:p>
            <w:pPr>
              <w:pStyle w:val="TableContents"/>
              <w:bidi w:val="0"/>
              <w:spacing w:before="0" w:after="0"/>
              <w:ind w:left="0" w:right="0" w:hanging="0"/>
              <w:jc w:val="left"/>
              <w:rPr/>
            </w:pPr>
            <w:hyperlink w:anchor="Item1ARiskFactors_559442">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47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3DefaultsUponSeniorSecurities_814057">
              <w:r>
                <w:rPr>
                  <w:rStyle w:val="InternetLink"/>
                  <w:rFonts w:ascii="Times New Roman;Times;serif" w:hAnsi="Times New Roman;Times;serif"/>
                  <w:b w:val="false"/>
                  <w:i w:val="false"/>
                  <w:caps w:val="false"/>
                  <w:smallCaps w:val="false"/>
                  <w:sz w:val="20"/>
                </w:rPr>
                <w:t>Item 3.</w:t>
              </w:r>
            </w:hyperlink>
          </w:p>
        </w:tc>
        <w:tc>
          <w:tcPr>
            <w:tcW w:w="8474" w:type="dxa"/>
            <w:tcBorders/>
            <w:vAlign w:val="center"/>
          </w:tcPr>
          <w:p>
            <w:pPr>
              <w:pStyle w:val="TableContents"/>
              <w:bidi w:val="0"/>
              <w:spacing w:before="0" w:after="0"/>
              <w:ind w:left="0" w:right="0" w:hanging="0"/>
              <w:jc w:val="left"/>
              <w:rPr/>
            </w:pPr>
            <w:hyperlink w:anchor="Item3DefaultsUponSeniorSecurities_81405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4MineSafetyDisclosures_568459">
              <w:r>
                <w:rPr>
                  <w:rStyle w:val="InternetLink"/>
                  <w:rFonts w:ascii="Times New Roman;Times;serif" w:hAnsi="Times New Roman;Times;serif"/>
                  <w:b w:val="false"/>
                  <w:i w:val="false"/>
                  <w:caps w:val="false"/>
                  <w:smallCaps w:val="false"/>
                  <w:sz w:val="20"/>
                </w:rPr>
                <w:t>Item 4.</w:t>
              </w:r>
            </w:hyperlink>
          </w:p>
        </w:tc>
        <w:tc>
          <w:tcPr>
            <w:tcW w:w="8474" w:type="dxa"/>
            <w:tcBorders/>
            <w:vAlign w:val="center"/>
          </w:tcPr>
          <w:p>
            <w:pPr>
              <w:pStyle w:val="TableContents"/>
              <w:bidi w:val="0"/>
              <w:spacing w:before="0" w:after="0"/>
              <w:ind w:left="0" w:right="0" w:hanging="0"/>
              <w:jc w:val="left"/>
              <w:rPr/>
            </w:pPr>
            <w:hyperlink w:anchor="Item4MineSafetyDisclosures_568459">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5OtherInformation_644059">
              <w:r>
                <w:rPr>
                  <w:rStyle w:val="InternetLink"/>
                  <w:rFonts w:ascii="Times New Roman;Times;serif" w:hAnsi="Times New Roman;Times;serif"/>
                  <w:b w:val="false"/>
                  <w:i w:val="false"/>
                  <w:caps w:val="false"/>
                  <w:smallCaps w:val="false"/>
                  <w:sz w:val="20"/>
                </w:rPr>
                <w:t>Item 5.</w:t>
              </w:r>
            </w:hyperlink>
          </w:p>
        </w:tc>
        <w:tc>
          <w:tcPr>
            <w:tcW w:w="8474" w:type="dxa"/>
            <w:tcBorders/>
            <w:vAlign w:val="center"/>
          </w:tcPr>
          <w:p>
            <w:pPr>
              <w:pStyle w:val="TableContents"/>
              <w:bidi w:val="0"/>
              <w:spacing w:before="0" w:after="0"/>
              <w:ind w:left="0" w:right="0" w:hanging="0"/>
              <w:jc w:val="left"/>
              <w:rPr/>
            </w:pPr>
            <w:hyperlink w:anchor="Item5OtherInformation_644059">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Item6Exhibits_92354">
              <w:r>
                <w:rPr>
                  <w:rStyle w:val="InternetLink"/>
                  <w:rFonts w:ascii="Times New Roman;Times;serif" w:hAnsi="Times New Roman;Times;serif"/>
                  <w:b w:val="false"/>
                  <w:i w:val="false"/>
                  <w:caps w:val="false"/>
                  <w:smallCaps w:val="false"/>
                  <w:sz w:val="20"/>
                </w:rPr>
                <w:t>Item 6.</w:t>
              </w:r>
            </w:hyperlink>
          </w:p>
        </w:tc>
        <w:tc>
          <w:tcPr>
            <w:tcW w:w="8474" w:type="dxa"/>
            <w:tcBorders/>
            <w:vAlign w:val="center"/>
          </w:tcPr>
          <w:p>
            <w:pPr>
              <w:pStyle w:val="TableContents"/>
              <w:bidi w:val="0"/>
              <w:spacing w:before="0" w:after="0"/>
              <w:ind w:left="0" w:right="0" w:hanging="0"/>
              <w:jc w:val="left"/>
              <w:rPr/>
            </w:pPr>
            <w:hyperlink w:anchor="Item6Exhibits_92354">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EXHIBITINDEX_843050">
              <w:r>
                <w:rPr>
                  <w:rStyle w:val="InternetLink"/>
                  <w:rFonts w:ascii="Times New Roman;Times;serif" w:hAnsi="Times New Roman;Times;serif"/>
                  <w:b w:val="false"/>
                  <w:i w:val="false"/>
                  <w:caps w:val="false"/>
                  <w:smallCaps w:val="false"/>
                  <w:sz w:val="20"/>
                </w:rPr>
                <w:t>Exhibit Index</w:t>
              </w:r>
            </w:hyperlink>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159" w:type="dxa"/>
            <w:tcBorders/>
            <w:vAlign w:val="center"/>
          </w:tcPr>
          <w:p>
            <w:pPr>
              <w:pStyle w:val="TableContents"/>
              <w:bidi w:val="0"/>
              <w:spacing w:before="0" w:after="0"/>
              <w:ind w:left="0" w:right="0" w:hanging="0"/>
              <w:jc w:val="left"/>
              <w:rPr/>
            </w:pPr>
            <w:r>
              <w:rPr/>
              <w:t>​</w:t>
            </w:r>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9" w:type="dxa"/>
            <w:tcBorders/>
            <w:vAlign w:val="center"/>
          </w:tcPr>
          <w:p>
            <w:pPr>
              <w:pStyle w:val="TableContents"/>
              <w:bidi w:val="0"/>
              <w:spacing w:before="0" w:after="0"/>
              <w:ind w:left="0" w:right="0" w:hanging="0"/>
              <w:jc w:val="left"/>
              <w:rPr/>
            </w:pPr>
            <w:hyperlink w:anchor="SIGNATURES_883092">
              <w:r>
                <w:rPr>
                  <w:rStyle w:val="InternetLink"/>
                  <w:rFonts w:ascii="Times New Roman;Times;serif" w:hAnsi="Times New Roman;Times;serif"/>
                  <w:b w:val="false"/>
                  <w:i w:val="false"/>
                  <w:caps w:val="false"/>
                  <w:smallCaps w:val="false"/>
                  <w:sz w:val="20"/>
                </w:rPr>
                <w:t>Signatures</w:t>
              </w:r>
            </w:hyperlink>
          </w:p>
        </w:tc>
        <w:tc>
          <w:tcPr>
            <w:tcW w:w="847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(this “Quarterly Report”) of Terrestrial Energy Inc. (“Terrestrial Energy,” the “Company,” “we,” “our,” and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w:t>
        <w:br/>
        <w:br/>
        <w:t>The discussion in this Quarterly Report should be read in conjunction with the condensed consolidated financial statements and notes thereto included in Item 1 of this Quarterly Report. Should one or more of these risks or uncertainties materialize, or should any of our assumptions prove incorrect, actual results may vary in material respects from those projected in these forward-looking statements, whether as a result of new information, future events or otherwise, except as may be required under applicable securities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bookmarkStart w:id="3" w:name="PARTIFINANCIALINFORMATION_395275"/>
      <w:bookmarkEnd w:id="3"/>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bookmarkStart w:id="4" w:name="Item1FinancialStatements_866050"/>
      <w:bookmarkEnd w:id="4"/>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bookmarkStart w:id="5" w:name="CondensedConsolidatedBalanceSheets_37183"/>
      <w:bookmarkEnd w:id="5"/>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b/>
          <w:i/>
          <w:sz w:val="20"/>
        </w:rPr>
        <w:t>Unaudited)</w:t>
      </w:r>
    </w:p>
    <w:tbl>
      <w:tblPr>
        <w:tblW w:w="10205" w:type="dxa"/>
        <w:jc w:val="left"/>
        <w:tblInd w:w="0" w:type="dxa"/>
        <w:tblLayout w:type="fixed"/>
        <w:tblCellMar>
          <w:top w:w="0" w:type="dxa"/>
          <w:left w:w="0" w:type="dxa"/>
          <w:bottom w:w="0" w:type="dxa"/>
          <w:right w:w="0" w:type="dxa"/>
        </w:tblCellMar>
      </w:tblPr>
      <w:tblGrid>
        <w:gridCol w:w="7055"/>
        <w:gridCol w:w="346"/>
        <w:gridCol w:w="196"/>
        <w:gridCol w:w="778"/>
        <w:gridCol w:w="346"/>
        <w:gridCol w:w="225"/>
        <w:gridCol w:w="866"/>
        <w:gridCol w:w="393"/>
      </w:tblGrid>
      <w:tr>
        <w:trPr/>
        <w:tc>
          <w:tcPr>
            <w:tcW w:w="7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79925" cy="175260"/>
                      <wp:effectExtent l="0" t="0" r="0" b="0"/>
                      <wp:wrapNone/>
                      <wp:docPr id="4" name="Frame4"/>
                      <a:graphic xmlns:a="http://schemas.openxmlformats.org/drawingml/2006/main">
                        <a:graphicData uri="http://schemas.microsoft.com/office/word/2010/wordprocessingShape">
                          <wps:wsp>
                            <wps:cNvSpPr txBox="1"/>
                            <wps:spPr>
                              <a:xfrm>
                                <a:off x="0" y="0"/>
                                <a:ext cx="4479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4030" cy="175260"/>
                      <wp:effectExtent l="0" t="0" r="0" b="0"/>
                      <wp:wrapNone/>
                      <wp:docPr id="7" name="Frame7"/>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2875" cy="175260"/>
                      <wp:effectExtent l="0" t="0" r="0" b="0"/>
                      <wp:wrapNone/>
                      <wp:docPr id="9" name="Frame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49910" cy="175260"/>
                      <wp:effectExtent l="0" t="0" r="0" b="0"/>
                      <wp:wrapNone/>
                      <wp:docPr id="10" name="Frame1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9555" cy="175260"/>
                      <wp:effectExtent l="0" t="0" r="0" b="0"/>
                      <wp:wrapNone/>
                      <wp:docPr id="11" name="Frame1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  ​ ​ ​</w:t>
            </w:r>
          </w:p>
        </w:tc>
        <w:tc>
          <w:tcPr>
            <w:tcW w:w="10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3" w:type="dxa"/>
            <w:tcBorders/>
            <w:vAlign w:val="center"/>
          </w:tcPr>
          <w:p>
            <w:pPr>
              <w:pStyle w:val="TableContents"/>
              <w:bidi w:val="0"/>
              <w:spacing w:before="0" w:after="1"/>
              <w:ind w:left="0" w:right="0" w:hanging="0"/>
              <w:jc w:val="left"/>
              <w:rPr/>
            </w:pPr>
            <w:r>
              <w:rPr/>
              <w:t>  ​ ​ ​</w:t>
            </w:r>
          </w:p>
        </w:tc>
      </w:tr>
      <w:tr>
        <w:trPr/>
        <w:tc>
          <w:tcPr>
            <w:tcW w:w="70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left"/>
              <w:rPr/>
            </w:pPr>
            <w:r>
              <w:rPr/>
              <w:t>  ​</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left"/>
              <w:rPr/>
            </w:pPr>
            <w:r>
              <w:rPr/>
              <w:t>  ​</w:t>
            </w:r>
          </w:p>
        </w:tc>
        <w:tc>
          <w:tcPr>
            <w:tcW w:w="393" w:type="dxa"/>
            <w:tcBorders/>
            <w:vAlign w:val="center"/>
          </w:tcPr>
          <w:p>
            <w:pPr>
              <w:pStyle w:val="TableContents"/>
              <w:bidi w:val="0"/>
              <w:spacing w:before="0" w:after="1"/>
              <w:ind w:left="0" w:right="0" w:hanging="0"/>
              <w:jc w:val="left"/>
              <w:rPr/>
            </w:pPr>
            <w:r>
              <w:rPr/>
              <w:t> </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76,946</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97,164</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198,018</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1,779</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276,743</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299,559</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14,898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1,919</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1,814</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295,168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302,980</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 xml:space="preserve">LIABILITIES AND STOCKHOLDERS’ EQUITY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4,495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Finance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5,048</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5,917</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1,478</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Finance 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7,574</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Commitments and Contingencies (Note 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 xml:space="preserve">Stockholders’ Equity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shares, $0.0001 par value; 500,000,000 authorized shares; 82,242,434 and 81,771,422 shares issued and outstanding as of March 31,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Exchangeable shares, $0.0001 par value; 23,692,820 and 24,011,017 shares issued and outstanding as of March 31, 2026 and December 31, 2025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421,734</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418,815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(135,128)</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(124,625)</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Accumulated other comprehensive income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288,596</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295,406</w:t>
            </w:r>
          </w:p>
        </w:tc>
        <w:tc>
          <w:tcPr>
            <w:tcW w:w="393" w:type="dxa"/>
            <w:tcBorders/>
            <w:vAlign w:val="center"/>
          </w:tcPr>
          <w:p>
            <w:pPr>
              <w:pStyle w:val="TableContents"/>
              <w:bidi w:val="0"/>
              <w:spacing w:before="0" w:after="1"/>
              <w:ind w:left="0" w:right="0" w:hanging="0"/>
              <w:jc w:val="left"/>
              <w:rPr/>
            </w:pPr>
            <w:r>
              <w:rPr/>
              <w:t>​</w:t>
            </w:r>
          </w:p>
        </w:tc>
      </w:tr>
      <w:tr>
        <w:trPr/>
        <w:tc>
          <w:tcPr>
            <w:tcW w:w="70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295,168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302,980</w:t>
            </w:r>
          </w:p>
        </w:tc>
        <w:tc>
          <w:tcPr>
            <w:tcW w:w="39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Loss</w:t>
      </w:r>
      <w:bookmarkStart w:id="6" w:name="CondensedConsolidatedStatementsofOperati"/>
      <w:bookmarkEnd w:id="6"/>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tbl>
      <w:tblPr>
        <w:tblW w:w="10043" w:type="dxa"/>
        <w:jc w:val="left"/>
        <w:tblInd w:w="0" w:type="dxa"/>
        <w:tblLayout w:type="fixed"/>
        <w:tblCellMar>
          <w:top w:w="0" w:type="dxa"/>
          <w:left w:w="0" w:type="dxa"/>
          <w:bottom w:w="0" w:type="dxa"/>
          <w:right w:w="0" w:type="dxa"/>
        </w:tblCellMar>
      </w:tblPr>
      <w:tblGrid>
        <w:gridCol w:w="6361"/>
        <w:gridCol w:w="346"/>
        <w:gridCol w:w="211"/>
        <w:gridCol w:w="1141"/>
        <w:gridCol w:w="346"/>
        <w:gridCol w:w="211"/>
        <w:gridCol w:w="1036"/>
        <w:gridCol w:w="391"/>
      </w:tblGrid>
      <w:tr>
        <w:trPr/>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039235" cy="175260"/>
                      <wp:effectExtent l="0" t="0" r="0" b="0"/>
                      <wp:wrapNone/>
                      <wp:docPr id="12" name="Frame12"/>
                      <a:graphic xmlns:a="http://schemas.openxmlformats.org/drawingml/2006/main">
                        <a:graphicData uri="http://schemas.microsoft.com/office/word/2010/wordprocessingShape">
                          <wps:wsp>
                            <wps:cNvSpPr txBox="1"/>
                            <wps:spPr>
                              <a:xfrm>
                                <a:off x="0" y="0"/>
                                <a:ext cx="403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24535" cy="175260"/>
                      <wp:effectExtent l="0" t="0" r="0" b="0"/>
                      <wp:wrapNone/>
                      <wp:docPr id="15" name="Frame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48285" cy="175260"/>
                      <wp:effectExtent l="0" t="0" r="0" b="0"/>
                      <wp:wrapNone/>
                      <wp:docPr id="19" name="Frame1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3,289</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4,878</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expense – related party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common share,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of Common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105,861,986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63,170,918</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(6,252)</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net unrealized gains on short-term and 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(9,729)</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(7,079)</w:t>
            </w:r>
          </w:p>
        </w:tc>
        <w:tc>
          <w:tcPr>
            <w:tcW w:w="391" w:type="dxa"/>
            <w:tcBorders/>
            <w:vAlign w:val="center"/>
          </w:tcPr>
          <w:p>
            <w:pPr>
              <w:pStyle w:val="TableContents"/>
              <w:bidi w:val="0"/>
              <w:spacing w:before="0" w:after="1"/>
              <w:ind w:left="0" w:right="0" w:hanging="0"/>
              <w:jc w:val="left"/>
              <w:rPr/>
            </w:pPr>
            <w:r>
              <w:rPr/>
              <w:t>​</w:t>
            </w:r>
          </w:p>
        </w:tc>
      </w:tr>
      <w:tr>
        <w:trPr/>
        <w:tc>
          <w:tcPr>
            <w:tcW w:w="6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 of Changes in Stockholders’ Equity (Deficit</w:t>
      </w:r>
      <w:bookmarkStart w:id="7" w:name="CondensedConsolidatedStatementsofChanges"/>
      <w:bookmarkEnd w:id="7"/>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tbl>
      <w:tblPr>
        <w:tblW w:w="10865" w:type="dxa"/>
        <w:jc w:val="left"/>
        <w:tblInd w:w="0" w:type="dxa"/>
        <w:tblLayout w:type="fixed"/>
        <w:tblCellMar>
          <w:top w:w="0" w:type="dxa"/>
          <w:left w:w="0" w:type="dxa"/>
          <w:bottom w:w="0" w:type="dxa"/>
          <w:right w:w="0" w:type="dxa"/>
        </w:tblCellMar>
      </w:tblPr>
      <w:tblGrid>
        <w:gridCol w:w="1081"/>
        <w:gridCol w:w="346"/>
        <w:gridCol w:w="916"/>
        <w:gridCol w:w="346"/>
        <w:gridCol w:w="228"/>
        <w:gridCol w:w="403"/>
        <w:gridCol w:w="346"/>
        <w:gridCol w:w="916"/>
        <w:gridCol w:w="346"/>
        <w:gridCol w:w="228"/>
        <w:gridCol w:w="403"/>
        <w:gridCol w:w="346"/>
        <w:gridCol w:w="196"/>
        <w:gridCol w:w="691"/>
        <w:gridCol w:w="346"/>
        <w:gridCol w:w="303"/>
        <w:gridCol w:w="793"/>
        <w:gridCol w:w="346"/>
        <w:gridCol w:w="196"/>
        <w:gridCol w:w="751"/>
        <w:gridCol w:w="346"/>
        <w:gridCol w:w="196"/>
        <w:gridCol w:w="79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86435" cy="175260"/>
                      <wp:effectExtent l="0" t="0" r="0" b="0"/>
                      <wp:wrapNone/>
                      <wp:docPr id="20" name="Frame2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1660" cy="175260"/>
                      <wp:effectExtent l="0" t="0" r="0" b="0"/>
                      <wp:wrapNone/>
                      <wp:docPr id="22" name="Frame2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4780" cy="175260"/>
                      <wp:effectExtent l="0" t="0" r="0" b="0"/>
                      <wp:wrapNone/>
                      <wp:docPr id="24" name="Frame2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55905" cy="175260"/>
                      <wp:effectExtent l="0" t="0" r="0" b="0"/>
                      <wp:wrapNone/>
                      <wp:docPr id="25" name="Frame25"/>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81660" cy="175260"/>
                      <wp:effectExtent l="0" t="0" r="0" b="0"/>
                      <wp:wrapNone/>
                      <wp:docPr id="27" name="Frame2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4780" cy="175260"/>
                      <wp:effectExtent l="0" t="0" r="0" b="0"/>
                      <wp:wrapNone/>
                      <wp:docPr id="29" name="Frame2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55905" cy="175260"/>
                      <wp:effectExtent l="0" t="0" r="0" b="0"/>
                      <wp:wrapNone/>
                      <wp:docPr id="30" name="Frame3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92405" cy="175260"/>
                      <wp:effectExtent l="0" t="0" r="0" b="0"/>
                      <wp:wrapNone/>
                      <wp:docPr id="35" name="Frame3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3555" cy="175260"/>
                      <wp:effectExtent l="0" t="0" r="0" b="0"/>
                      <wp:wrapNone/>
                      <wp:docPr id="36" name="Frame3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76885" cy="175260"/>
                      <wp:effectExtent l="0" t="0" r="0" b="0"/>
                      <wp:wrapNone/>
                      <wp:docPr id="39" name="Frame3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42"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93" w:type="dxa"/>
            <w:gridSpan w:val="4"/>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Shares</w:t>
            </w:r>
          </w:p>
        </w:tc>
        <w:tc>
          <w:tcPr>
            <w:tcW w:w="346" w:type="dxa"/>
            <w:tcBorders/>
            <w:vAlign w:val="center"/>
          </w:tcPr>
          <w:p>
            <w:pPr>
              <w:pStyle w:val="TableContents"/>
              <w:bidi w:val="0"/>
              <w:spacing w:before="0" w:after="1"/>
              <w:ind w:left="0" w:right="0" w:hanging="0"/>
              <w:jc w:val="left"/>
              <w:rPr/>
            </w:pPr>
            <w:r>
              <w:rPr/>
              <w:t>​</w:t>
            </w:r>
          </w:p>
        </w:tc>
        <w:tc>
          <w:tcPr>
            <w:tcW w:w="18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Exchangeable Shares</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as of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81,771,422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24,011,017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418,815</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(124,625)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295,406</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upon exercise of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140,815</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exchangeable shares to common shares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318,197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(318,197)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for private placement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Currency translation adjustments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unrealized gains on short-term and long-term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(10,503)</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(10,503)</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82,242,434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23,692,820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421,734</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(135,128)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288,596</w:t>
            </w:r>
          </w:p>
        </w:tc>
      </w:tr>
    </w:tbl>
    <w:p>
      <w:pPr>
        <w:pStyle w:val="TextBody"/>
        <w:bidi w:val="0"/>
        <w:spacing w:before="0" w:after="240"/>
        <w:ind w:left="0" w:right="0" w:hanging="0"/>
        <w:jc w:val="both"/>
        <w:rPr/>
      </w:pPr>
      <w:r>
        <w:rPr/>
        <w:t>​</w:t>
      </w:r>
    </w:p>
    <w:tbl>
      <w:tblPr>
        <w:tblW w:w="10353" w:type="dxa"/>
        <w:jc w:val="left"/>
        <w:tblInd w:w="0" w:type="dxa"/>
        <w:tblLayout w:type="fixed"/>
        <w:tblCellMar>
          <w:top w:w="0" w:type="dxa"/>
          <w:left w:w="0" w:type="dxa"/>
          <w:bottom w:w="0" w:type="dxa"/>
          <w:right w:w="0" w:type="dxa"/>
        </w:tblCellMar>
      </w:tblPr>
      <w:tblGrid>
        <w:gridCol w:w="931"/>
        <w:gridCol w:w="346"/>
        <w:gridCol w:w="346"/>
        <w:gridCol w:w="766"/>
        <w:gridCol w:w="346"/>
        <w:gridCol w:w="196"/>
        <w:gridCol w:w="375"/>
        <w:gridCol w:w="346"/>
        <w:gridCol w:w="766"/>
        <w:gridCol w:w="346"/>
        <w:gridCol w:w="196"/>
        <w:gridCol w:w="375"/>
        <w:gridCol w:w="346"/>
        <w:gridCol w:w="196"/>
        <w:gridCol w:w="555"/>
        <w:gridCol w:w="346"/>
        <w:gridCol w:w="331"/>
        <w:gridCol w:w="690"/>
        <w:gridCol w:w="346"/>
        <w:gridCol w:w="194"/>
        <w:gridCol w:w="677"/>
        <w:gridCol w:w="346"/>
        <w:gridCol w:w="229"/>
        <w:gridCol w:w="762"/>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91185" cy="175260"/>
                      <wp:effectExtent l="0" t="0" r="0" b="0"/>
                      <wp:wrapNone/>
                      <wp:docPr id="43" name="Frame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86410" cy="175260"/>
                      <wp:effectExtent l="0" t="0" r="0" b="0"/>
                      <wp:wrapNone/>
                      <wp:docPr id="46" name="Frame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8125" cy="175260"/>
                      <wp:effectExtent l="0" t="0" r="0" b="0"/>
                      <wp:wrapNone/>
                      <wp:docPr id="49" name="Frame4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86410" cy="175260"/>
                      <wp:effectExtent l="0" t="0" r="0" b="0"/>
                      <wp:wrapNone/>
                      <wp:docPr id="51" name="Frame5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8125" cy="175260"/>
                      <wp:effectExtent l="0" t="0" r="0" b="0"/>
                      <wp:wrapNone/>
                      <wp:docPr id="54" name="Frame5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52425" cy="175260"/>
                      <wp:effectExtent l="0" t="0" r="0" b="0"/>
                      <wp:wrapNone/>
                      <wp:docPr id="57" name="Frame57"/>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0185" cy="175260"/>
                      <wp:effectExtent l="0" t="0" r="0" b="0"/>
                      <wp:wrapNone/>
                      <wp:docPr id="59" name="Frame5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150" cy="175260"/>
                      <wp:effectExtent l="0" t="0" r="0" b="0"/>
                      <wp:wrapNone/>
                      <wp:docPr id="60" name="Frame6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3190" cy="175260"/>
                      <wp:effectExtent l="0" t="0" r="0" b="0"/>
                      <wp:wrapNone/>
                      <wp:docPr id="62" name="Frame62"/>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29895" cy="175260"/>
                      <wp:effectExtent l="0" t="0" r="0" b="0"/>
                      <wp:wrapNone/>
                      <wp:docPr id="63" name="Frame6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5415" cy="175260"/>
                      <wp:effectExtent l="0" t="0" r="0" b="0"/>
                      <wp:wrapNone/>
                      <wp:docPr id="65" name="Frame6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83870" cy="175260"/>
                      <wp:effectExtent l="0" t="0" r="0" b="0"/>
                      <wp:wrapNone/>
                      <wp:docPr id="66" name="Frame66"/>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  ​ ​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29"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83" w:type="dxa"/>
            <w:gridSpan w:val="4"/>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Shares</w:t>
            </w:r>
          </w:p>
        </w:tc>
        <w:tc>
          <w:tcPr>
            <w:tcW w:w="3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Exchangeable Shares</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34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January 1, 2025, as recast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82,774</w:t>
            </w:r>
          </w:p>
        </w:tc>
        <w:tc>
          <w:tcPr>
            <w:tcW w:w="34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337</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(96,608)</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(13,491)</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c>
          <w:tcPr>
            <w:tcW w:w="34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warrants in connection with convertible notes,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2,595</w:t>
            </w:r>
          </w:p>
        </w:tc>
        <w:tc>
          <w:tcPr>
            <w:tcW w:w="34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2,595</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Currency translation adjustments</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loss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(6,252)</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(6,252)</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March 31, 2025</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85,549</w:t>
            </w:r>
          </w:p>
        </w:tc>
        <w:tc>
          <w:tcPr>
            <w:tcW w:w="346"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(490)</w:t>
            </w:r>
          </w:p>
        </w:tc>
        <w:tc>
          <w:tcPr>
            <w:tcW w:w="346"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(102,860)</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(17,795)</w:t>
            </w:r>
          </w:p>
        </w:tc>
      </w:tr>
    </w:tbl>
    <w:p>
      <w:pPr>
        <w:pStyle w:val="TextBody"/>
        <w:bidi w:val="0"/>
        <w:spacing w:before="0" w:after="240"/>
        <w:ind w:left="36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The shares of the Company’s common stock prior to the Recapitalization have been retrospectively recast to reflect the change in the capital structure as a result of the Recapitalization as described in Note 1.</w:t>
      </w:r>
    </w:p>
    <w:p>
      <w:pPr>
        <w:pStyle w:val="TextBody"/>
        <w:bidi w:val="0"/>
        <w:spacing w:before="0" w:after="240"/>
        <w:ind w:left="36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tbl>
      <w:tblPr>
        <w:tblW w:w="69" w:type="dxa"/>
        <w:jc w:val="left"/>
        <w:tblInd w:w="0" w:type="dxa"/>
        <w:tblLayout w:type="fixed"/>
        <w:tblCellMar>
          <w:top w:w="0" w:type="dxa"/>
          <w:left w:w="0" w:type="dxa"/>
          <w:bottom w:w="0" w:type="dxa"/>
          <w:right w:w="0" w:type="dxa"/>
        </w:tblCellMar>
      </w:tblPr>
      <w:tblGrid>
        <w:gridCol w:w="23"/>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bookmarkStart w:id="8" w:name="CondensedConsolidatedStatementsofCashFlo"/>
      <w:bookmarkEnd w:id="8"/>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tbl>
      <w:tblPr>
        <w:tblW w:w="9098" w:type="dxa"/>
        <w:jc w:val="left"/>
        <w:tblInd w:w="0" w:type="dxa"/>
        <w:tblLayout w:type="fixed"/>
        <w:tblCellMar>
          <w:top w:w="0" w:type="dxa"/>
          <w:left w:w="0" w:type="dxa"/>
          <w:bottom w:w="0" w:type="dxa"/>
          <w:right w:w="0" w:type="dxa"/>
        </w:tblCellMar>
      </w:tblPr>
      <w:tblGrid>
        <w:gridCol w:w="6106"/>
        <w:gridCol w:w="346"/>
        <w:gridCol w:w="211"/>
        <w:gridCol w:w="796"/>
        <w:gridCol w:w="346"/>
        <w:gridCol w:w="211"/>
        <w:gridCol w:w="691"/>
        <w:gridCol w:w="391"/>
      </w:tblGrid>
      <w:tr>
        <w:trPr/>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877310" cy="175260"/>
                      <wp:effectExtent l="0" t="0" r="0" b="0"/>
                      <wp:wrapNone/>
                      <wp:docPr id="67" name="Frame67"/>
                      <a:graphic xmlns:a="http://schemas.openxmlformats.org/drawingml/2006/main">
                        <a:graphicData uri="http://schemas.microsoft.com/office/word/2010/wordprocessingShape">
                          <wps:wsp>
                            <wps:cNvSpPr txBox="1"/>
                            <wps:spPr>
                              <a:xfrm>
                                <a:off x="0" y="0"/>
                                <a:ext cx="3877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05460" cy="175260"/>
                      <wp:effectExtent l="0" t="0" r="0" b="0"/>
                      <wp:wrapNone/>
                      <wp:docPr id="70" name="Frame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8785" cy="175260"/>
                      <wp:effectExtent l="0" t="0" r="0" b="0"/>
                      <wp:wrapNone/>
                      <wp:docPr id="73" name="Frame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8285" cy="175260"/>
                      <wp:effectExtent l="0" t="0" r="0" b="0"/>
                      <wp:wrapNone/>
                      <wp:docPr id="74" name="Frame7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(6,252)</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and accretion of discount on investments,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currency transaction gain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redemptions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 –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 for common shares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finance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10,945</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(Decrease) increase in cash and cash equivalents during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8,296</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11,318</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warrants in connection with convertible notes,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 liabilities obtained in exchange for operating lease assets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rPr>
        <w:t>Organization and Description of Business</w:t>
      </w:r>
      <w:bookmarkStart w:id="9" w:name="Notes_Start"/>
      <w:bookmarkEnd w:id="9"/>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Terrestrial Energy Inc. (the “Company” or “TEI”), a Company incorporated under the laws of the State of Delaware, is a Company developing Generation IV nuclear technology, as defined by the Generation IV International Forum. The Company is committed to delivering reliable, resilient, emission-free, and cost-competitive energy by developing and deploying its patented Integral Molten Salt Reactor (“IMSR”) for commercial operation.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28, 2025 (the “Closing Date”), Terrestrial Energy Inc. (formerly HCM II Acquisition Corp. “HCM II”) consummated the transactions set forth by the Business Combination Agreement dated March 26, 2025 with Terrestrial Energy Development Inc. (formerly Terrestrial Energy, Inc.) (“TEDI”) and HCM II Merger Sub Inc. (the “Business Combination”). Upon closing, Merger Sub merged with and into TEDI, with TEDI surviving as a wholly owned subsidiary of Terrestrial Energy Inc. (collectively, the “Transactions”). Under the terms of the Agreement, TEDI’s outstanding shares of common stock and convertible notes were exchanged for shares in Terrestrial Energy Inc. at an exchange ratio specified in the Business Combination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Business Combination was accounted for as a reverse recapitalization in accordance with generally accepted accounting principles in the United States of America (“U.S. GAAP”). Under this method of accounting, TEDI was deemed to be the accounting acquirer for financial reporting purposes.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Business Combination closed on Tuesday, October 28, 2025, with trading commencing on the Nasdaq Stock Market LLC (“Nasdaq”) on Wednesday, October 29,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closing of the transaction, the combined company became known as Terrestrial Energy Inc. and its securities and warrants were listed on Nasdaq under the symbols “IMSR” and “IMSRW”,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Liquidity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Company’s primary sources of liquidity have been cash flows from private fundraising offerings to related parties or other investors and other financing activities to fund operations. For the three months ended March 31, 2026 and 2025, the Company reported operating losses of $11,931 and $4,878, respectively, and negative cash flows from operations of $9,093 and $2,760, respectively. As of March 31, 2026, the Company had $76,946 in cash and cash equivalents and $198,018 in short-term investments. The Company had net working capital of $271,695 and an accumulated deficit of $135,128.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it has sufficient liquidity to support operations for at least the next twelve months following the date of issuance of the condensed consolidated financial statements. This projection is based on the Company’s current expectations regarding cost structure, cash burn rate and other operating assumptions.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and accompanying notes are prepared in accordance with accounting principles generally accepted in the United States of America (“U.S. GAAP”) for interim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instructions to Form 10-Q and Articles 8 and 10 of Regulation S-X of the U.S.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Annual Report on Form 10-K for the fiscal year ended December 31, 2025, which was filed on March 30, 2026. In the opinion of management, the accompanying unaudited condensed consolidated financial statements include all adjustments, consisting of a normal recurring nature, which are necessary for a fair statement of the financial position, operating results, and cash flows for the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certain estimates, judgments and assumptions. The Company believes that the estimates, judgments and assumptions made when accounting for items and matters such as, but not limited to, determination of deferred income for government assistance, useful life of property and equipment and intangible assets, fair value of stock options granted, recognition of deferred income tax assets, determination of incremental borrowing rate used to measure lease liabilities, and warrants, are reasonable based on information available at the time they are made. These estimates, judgments and assumptions can affect the reported amounts of assets and liabilities as of the date of the condensed consolidated financial statements, as well as amounts reported on the statements of operations during the periods presented. Actual results could differ from those estimates.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Foreign Currency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reporting currency is the United States dollar (“USD”). The functional currency of each subsidiary is determined by the currency of the primary economic environment in which the entity operates. The functional currency of Terrestrial Energy Ontario Inc. (“TEON”) is the Canadian dollar (“CAD”), that of Terrestrial Energy Limited, a company incorporated under the laws of England and Wales, the Pound Sterling and that of Terrestrial Energy USA, Inc., the USD.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w:t>
      </w:r>
      <w:r>
        <w:rPr>
          <w:rFonts w:ascii="Times New Roman;Times;serif" w:hAnsi="Times New Roman;Times;serif"/>
          <w:b/>
          <w:sz w:val="20"/>
        </w:rPr>
        <w:t>(</w:t>
      </w:r>
      <w:r>
        <w:rPr>
          <w:rFonts w:ascii="Times New Roman;Times;serif" w:hAnsi="Times New Roman;Times;serif"/>
          <w:sz w:val="20"/>
        </w:rPr>
        <w:t>loss), which is reflected as a separate component of Stockholders’ Equity (Deficit). The functional currency is translated into U.S. dollars for balance sheet accounts using currency exchange rates in effect as of the balance sheet date, and for revenue and expense accounts using a weighted-average exchange rate during the respective reporting period.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equity in “Accumulated other comprehensive income (loss)”. Gains or losses resulting from transactions denominated in foreign currencies and intercompany debt that is not of a long-term investment nature are included in foreign exchange gain (loss) in the condensed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Concentration of Credit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cash accounts in a financial institution may at times exceed the Federal Depository Insurance coverage of $250,000. No losses have been incurred to date on any deposit balance.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tbl>
      <w:tblPr>
        <w:tblW w:w="6918" w:type="dxa"/>
        <w:jc w:val="left"/>
        <w:tblInd w:w="0" w:type="dxa"/>
        <w:tblLayout w:type="fixed"/>
        <w:tblCellMar>
          <w:top w:w="0" w:type="dxa"/>
          <w:left w:w="0" w:type="dxa"/>
          <w:bottom w:w="0" w:type="dxa"/>
          <w:right w:w="0" w:type="dxa"/>
        </w:tblCellMar>
      </w:tblPr>
      <w:tblGrid>
        <w:gridCol w:w="23"/>
        <w:gridCol w:w="170"/>
        <w:gridCol w:w="6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in active markets for identical assets or liabilities.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tc>
      </w:tr>
    </w:tbl>
    <w:tbl>
      <w:tblPr>
        <w:tblW w:w="4833" w:type="dxa"/>
        <w:jc w:val="left"/>
        <w:tblInd w:w="0" w:type="dxa"/>
        <w:tblLayout w:type="fixed"/>
        <w:tblCellMar>
          <w:top w:w="0" w:type="dxa"/>
          <w:left w:w="0" w:type="dxa"/>
          <w:bottom w:w="0" w:type="dxa"/>
          <w:right w:w="0" w:type="dxa"/>
        </w:tblCellMar>
      </w:tblPr>
      <w:tblGrid>
        <w:gridCol w:w="23"/>
        <w:gridCol w:w="170"/>
        <w:gridCol w:w="4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for the asset or liability.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amounts of certain financial instruments, such as cash equivalents, prepaid expenses and other current assets, accounts payable and accrued expenses, approximate fair value due to their relatively short maturities. The Company’s investments are classified as Level 1 or Level 2 assets (as described in Note 3). The valuation techniques used to measure the fair values of the Company’s Level 2 financial instruments, which generally have counterparties with high credit ratings, are based on quoted market prices or model-driven valuations using significant inputs derived from and corroborated by observable market data.</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reviews the terms of warrants to purchase its common stock to determine whether warrants should be classified as liabilities or stockholders’ equity (deficit) in its condensed consolidated balance sheets. In order for a warrant to be classified in stockholders’ equity (deficit), the warrant must be (i) indexed to the Company’s equity and (ii) meet the conditions for equity classification.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warrant does not meet the conditions for stockholders’ equity (deficit) classification, it is carried on the condensed consolidated balance sheets as a warrant liability measured at fair value, with subsequent changes in the fair value of the warrant recorded in other income (expense) in the condensed consolidated statements of operations and comprehensive loss. If a warrant meets both conditions for equity classification, the warrant is initially recorded, at its relative fair value on the date of issuance, in stockholders’ deficit in the condensed consolidated balance sheets, and the amount initially recorded is not subsequently remeasured at fair value.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stock-based compensation arrangements granted to employees in accordance with Accounting Standards Codification (“ASC”) 718, “Compensation: Stock Compensation”, by measuring the grant date fair value of the award and recognizing the resulting expense over the period during which the employee is required to perform service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exchange for the award. Equity-based compensation expense is only recognized for awards subject to performance conditions if it is probable that the performance condition will be achieved. The Company accounts for forfeitures when they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the Black-Scholes option pricing model to determine the grant date fair value of its stock-based compensation.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Closing of the Business Combination, there was no public market for the Company’s common stock. Therefore, the Company determined the fair value of common stock at the time of each grant of stock options by considering a number of objective and subjective factors in accordance with applicable elements of the practice aid issued by the American Institute of Certified Public Accountants titled, “Valuation of Privately Held Company Equity Securities Issued as Compensation.” Stock options granted by the Company have exercise prices equal to the fair value of the Company’s common stock, as determined by the Company on the date of grant. After the Closing of the Business Combination, the closing price of the common stock on Nasdaq is used as the fair value of the Company’s common stock.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grants restricted stock units (“RSUs”) to employees and non-employee directors as part of its equity-based compensation program. RSUs represent the right to receive shares of the Company’s common stock upon vesting, subject to specified service. RSUs do not have voting or dividend rights prior to the issuance of shares, except for dividend equivalents if and when declared, as applicable under the terms of the award agreements.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Government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Loss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earnings as if all income (loss) for the period had been distributed. The Company’s preferred stock does not contractually require the holders of such stock to participate in losses of the Company. Accordingly, in periods in which the Company reports a net loss attributable to common stockholders, such losses are not allocated to such participating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stock options, warrants, and restricted stock units have been excluded from the calculation of diluted net loss per share attributable to common stockholders as their effect is anti-dilutive for all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 single operating and reportable segment. The Company’s Chief Executive Officer (“CEO”) is its Chief Operating Decision Maker (“CODM”), who reviews financial information presented on a consolidated basis for the purposes of making operating decisions, allocating resources and evaluating financial performance.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assessed the adoption impacts of recently issued accounting standards by the Financial Accounting Standards Board on the Company’s condensed consolidated financial statements as well as material updates to previous assessments, if any, to the Company’s annual audited consolidated financial statements and notes thereto included in our Form 10-K for the year ended December 31,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the Company’s cash, cash equivalent and investments by significant investment category as of March 31, 2026:</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tbl>
      <w:tblPr>
        <w:tblW w:w="10205" w:type="dxa"/>
        <w:jc w:val="left"/>
        <w:tblInd w:w="0" w:type="dxa"/>
        <w:tblLayout w:type="fixed"/>
        <w:tblCellMar>
          <w:top w:w="0" w:type="dxa"/>
          <w:left w:w="0" w:type="dxa"/>
          <w:bottom w:w="0" w:type="dxa"/>
          <w:right w:w="0" w:type="dxa"/>
        </w:tblCellMar>
      </w:tblPr>
      <w:tblGrid>
        <w:gridCol w:w="1176"/>
        <w:gridCol w:w="346"/>
        <w:gridCol w:w="220"/>
        <w:gridCol w:w="779"/>
        <w:gridCol w:w="196"/>
        <w:gridCol w:w="1033"/>
        <w:gridCol w:w="196"/>
        <w:gridCol w:w="1045"/>
        <w:gridCol w:w="196"/>
        <w:gridCol w:w="737"/>
        <w:gridCol w:w="196"/>
        <w:gridCol w:w="1089"/>
        <w:gridCol w:w="196"/>
        <w:gridCol w:w="1051"/>
        <w:gridCol w:w="196"/>
        <w:gridCol w:w="1051"/>
        <w:gridCol w:w="346"/>
        <w:gridCol w:w="156"/>
      </w:tblGrid>
      <w:tr>
        <w:trPr/>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46760" cy="175260"/>
                      <wp:effectExtent l="0" t="0" r="0" b="0"/>
                      <wp:wrapNone/>
                      <wp:docPr id="75" name="Frame75"/>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9700" cy="175260"/>
                      <wp:effectExtent l="0" t="0" r="0" b="0"/>
                      <wp:wrapNone/>
                      <wp:docPr id="77" name="Frame7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4665" cy="175260"/>
                      <wp:effectExtent l="0" t="0" r="0" b="0"/>
                      <wp:wrapNone/>
                      <wp:docPr id="78" name="Frame78"/>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55955" cy="175260"/>
                      <wp:effectExtent l="0" t="0" r="0" b="0"/>
                      <wp:wrapNone/>
                      <wp:docPr id="80" name="Frame80"/>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3575" cy="175260"/>
                      <wp:effectExtent l="0" t="0" r="0" b="0"/>
                      <wp:wrapNone/>
                      <wp:docPr id="82" name="Frame82"/>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67995" cy="175260"/>
                      <wp:effectExtent l="0" t="0" r="0" b="0"/>
                      <wp:wrapNone/>
                      <wp:docPr id="84" name="Frame84"/>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1515" cy="175260"/>
                      <wp:effectExtent l="0" t="0" r="0" b="0"/>
                      <wp:wrapNone/>
                      <wp:docPr id="86" name="Frame86"/>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7385" cy="175260"/>
                      <wp:effectExtent l="0" t="0" r="0" b="0"/>
                      <wp:wrapNone/>
                      <wp:docPr id="88" name="Frame8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9"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7385" cy="175260"/>
                      <wp:effectExtent l="0" t="0" r="0" b="0"/>
                      <wp:wrapNone/>
                      <wp:docPr id="90" name="Frame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9060" cy="175260"/>
                      <wp:effectExtent l="0" t="0" r="0" b="0"/>
                      <wp:wrapNone/>
                      <wp:docPr id="92" name="Frame92"/>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8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March 31, 2026</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9" w:type="dxa"/>
            <w:gridSpan w:val="2"/>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33"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7"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8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Cash and Cash </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Short-Term</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Long-Term</w:t>
            </w:r>
          </w:p>
        </w:tc>
        <w:tc>
          <w:tcPr>
            <w:tcW w:w="346" w:type="dxa"/>
            <w:tcBorders/>
            <w:vAlign w:val="center"/>
          </w:tcPr>
          <w:p>
            <w:pPr>
              <w:pStyle w:val="TableContents"/>
              <w:bidi w:val="0"/>
              <w:spacing w:before="0" w:after="1"/>
              <w:ind w:left="0" w:right="0" w:hanging="0"/>
              <w:jc w:val="left"/>
              <w:rPr/>
            </w:pPr>
            <w:r>
              <w:rPr/>
              <w:t>  ​ ​ ​</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Amortized Cost</w:t>
            </w:r>
          </w:p>
        </w:tc>
        <w:tc>
          <w:tcPr>
            <w:tcW w:w="196" w:type="dxa"/>
            <w:tcBorders/>
            <w:vAlign w:val="center"/>
          </w:tcPr>
          <w:p>
            <w:pPr>
              <w:pStyle w:val="TableContents"/>
              <w:bidi w:val="0"/>
              <w:spacing w:before="0" w:after="1"/>
              <w:ind w:left="0" w:right="0" w:hanging="0"/>
              <w:jc w:val="center"/>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Gains</w:t>
            </w:r>
          </w:p>
        </w:tc>
        <w:tc>
          <w:tcPr>
            <w:tcW w:w="196" w:type="dxa"/>
            <w:tcBorders/>
            <w:vAlign w:val="center"/>
          </w:tcPr>
          <w:p>
            <w:pPr>
              <w:pStyle w:val="TableContents"/>
              <w:bidi w:val="0"/>
              <w:spacing w:before="0" w:after="1"/>
              <w:ind w:left="0" w:right="0" w:hanging="0"/>
              <w:jc w:val="center"/>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Losses</w:t>
            </w:r>
          </w:p>
        </w:tc>
        <w:tc>
          <w:tcPr>
            <w:tcW w:w="196" w:type="dxa"/>
            <w:tcBorders/>
            <w:vAlign w:val="center"/>
          </w:tcPr>
          <w:p>
            <w:pPr>
              <w:pStyle w:val="TableContents"/>
              <w:bidi w:val="0"/>
              <w:spacing w:before="0" w:after="1"/>
              <w:ind w:left="0" w:right="0" w:hanging="0"/>
              <w:jc w:val="center"/>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196" w:type="dxa"/>
            <w:tcBorders/>
            <w:vAlign w:val="center"/>
          </w:tcPr>
          <w:p>
            <w:pPr>
              <w:pStyle w:val="TableContents"/>
              <w:bidi w:val="0"/>
              <w:spacing w:before="0" w:after="1"/>
              <w:ind w:left="0" w:right="0" w:hanging="0"/>
              <w:jc w:val="center"/>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4,252</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1:</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72,694</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196,039</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1,979</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198,018</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198,018</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Government securities </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14,910</w:t>
            </w:r>
          </w:p>
        </w:tc>
        <w:tc>
          <w:tcPr>
            <w:tcW w:w="196" w:type="dxa"/>
            <w:tcBorders/>
            <w:vAlign w:val="center"/>
          </w:tcPr>
          <w:p>
            <w:pPr>
              <w:pStyle w:val="TableContents"/>
              <w:bidi w:val="0"/>
              <w:spacing w:before="0" w:after="1"/>
              <w:ind w:left="0" w:right="0" w:hanging="0"/>
              <w:jc w:val="righ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196" w:type="dxa"/>
            <w:tcBorders/>
            <w:vAlign w:val="center"/>
          </w:tcPr>
          <w:p>
            <w:pPr>
              <w:pStyle w:val="TableContents"/>
              <w:bidi w:val="0"/>
              <w:spacing w:before="0" w:after="1"/>
              <w:ind w:left="0" w:right="0" w:hanging="0"/>
              <w:jc w:val="righ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14,898</w:t>
            </w:r>
          </w:p>
        </w:tc>
        <w:tc>
          <w:tcPr>
            <w:tcW w:w="196" w:type="dxa"/>
            <w:tcBorders/>
            <w:vAlign w:val="center"/>
          </w:tcPr>
          <w:p>
            <w:pPr>
              <w:pStyle w:val="TableContents"/>
              <w:bidi w:val="0"/>
              <w:spacing w:before="0" w:after="1"/>
              <w:ind w:left="0" w:right="0" w:hanging="0"/>
              <w:jc w:val="right"/>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14,898</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210,949</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1,979</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212,916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76,946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198,018</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14,898</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76"/>
        <w:gridCol w:w="346"/>
        <w:gridCol w:w="220"/>
        <w:gridCol w:w="779"/>
        <w:gridCol w:w="196"/>
        <w:gridCol w:w="1033"/>
        <w:gridCol w:w="196"/>
        <w:gridCol w:w="1045"/>
        <w:gridCol w:w="196"/>
        <w:gridCol w:w="737"/>
        <w:gridCol w:w="196"/>
        <w:gridCol w:w="1089"/>
        <w:gridCol w:w="196"/>
        <w:gridCol w:w="1051"/>
        <w:gridCol w:w="196"/>
        <w:gridCol w:w="1051"/>
        <w:gridCol w:w="346"/>
        <w:gridCol w:w="156"/>
      </w:tblGrid>
      <w:tr>
        <w:trPr/>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46760" cy="175260"/>
                      <wp:effectExtent l="0" t="0" r="0" b="0"/>
                      <wp:wrapNone/>
                      <wp:docPr id="93" name="Frame93"/>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9700" cy="175260"/>
                      <wp:effectExtent l="0" t="0" r="0" b="0"/>
                      <wp:wrapNone/>
                      <wp:docPr id="95" name="Frame9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4665" cy="175260"/>
                      <wp:effectExtent l="0" t="0" r="0" b="0"/>
                      <wp:wrapNone/>
                      <wp:docPr id="96" name="Frame96"/>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4460" cy="175260"/>
                      <wp:effectExtent l="0" t="0" r="0" b="0"/>
                      <wp:wrapNone/>
                      <wp:docPr id="97" name="Frame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55955" cy="175260"/>
                      <wp:effectExtent l="0" t="0" r="0" b="0"/>
                      <wp:wrapNone/>
                      <wp:docPr id="98" name="Frame98"/>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9" name="Frame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3575" cy="175260"/>
                      <wp:effectExtent l="0" t="0" r="0" b="0"/>
                      <wp:wrapNone/>
                      <wp:docPr id="100" name="Frame100"/>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4460" cy="175260"/>
                      <wp:effectExtent l="0" t="0" r="0" b="0"/>
                      <wp:wrapNone/>
                      <wp:docPr id="101"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67995" cy="175260"/>
                      <wp:effectExtent l="0" t="0" r="0" b="0"/>
                      <wp:wrapNone/>
                      <wp:docPr id="102" name="Frame102"/>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1515" cy="175260"/>
                      <wp:effectExtent l="0" t="0" r="0" b="0"/>
                      <wp:wrapNone/>
                      <wp:docPr id="104" name="Frame104"/>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7385" cy="175260"/>
                      <wp:effectExtent l="0" t="0" r="0" b="0"/>
                      <wp:wrapNone/>
                      <wp:docPr id="106" name="Frame10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7" name="Frame1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67385" cy="175260"/>
                      <wp:effectExtent l="0" t="0" r="0" b="0"/>
                      <wp:wrapNone/>
                      <wp:docPr id="108" name="Frame10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9060" cy="175260"/>
                      <wp:effectExtent l="0" t="0" r="0" b="0"/>
                      <wp:wrapNone/>
                      <wp:docPr id="110" name="Frame110"/>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8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December 31, 2025</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9" w:type="dxa"/>
            <w:gridSpan w:val="2"/>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33"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7"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8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Cash and Cash </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Short-Term</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Long-Term</w:t>
            </w:r>
          </w:p>
        </w:tc>
        <w:tc>
          <w:tcPr>
            <w:tcW w:w="346" w:type="dxa"/>
            <w:tcBorders/>
            <w:vAlign w:val="center"/>
          </w:tcPr>
          <w:p>
            <w:pPr>
              <w:pStyle w:val="TableContents"/>
              <w:bidi w:val="0"/>
              <w:spacing w:before="0" w:after="1"/>
              <w:ind w:left="0" w:right="0" w:hanging="0"/>
              <w:jc w:val="left"/>
              <w:rPr/>
            </w:pPr>
            <w:r>
              <w:rPr/>
              <w:t>  ​ ​ ​</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Amortized Cost</w:t>
            </w:r>
          </w:p>
        </w:tc>
        <w:tc>
          <w:tcPr>
            <w:tcW w:w="196" w:type="dxa"/>
            <w:tcBorders/>
            <w:vAlign w:val="center"/>
          </w:tcPr>
          <w:p>
            <w:pPr>
              <w:pStyle w:val="TableContents"/>
              <w:bidi w:val="0"/>
              <w:spacing w:before="0" w:after="1"/>
              <w:ind w:left="0" w:right="0" w:hanging="0"/>
              <w:jc w:val="center"/>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Gains</w:t>
            </w:r>
          </w:p>
        </w:tc>
        <w:tc>
          <w:tcPr>
            <w:tcW w:w="196" w:type="dxa"/>
            <w:tcBorders/>
            <w:vAlign w:val="center"/>
          </w:tcPr>
          <w:p>
            <w:pPr>
              <w:pStyle w:val="TableContents"/>
              <w:bidi w:val="0"/>
              <w:spacing w:before="0" w:after="1"/>
              <w:ind w:left="0" w:right="0" w:hanging="0"/>
              <w:jc w:val="center"/>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Losses</w:t>
            </w:r>
          </w:p>
        </w:tc>
        <w:tc>
          <w:tcPr>
            <w:tcW w:w="196" w:type="dxa"/>
            <w:tcBorders/>
            <w:vAlign w:val="center"/>
          </w:tcPr>
          <w:p>
            <w:pPr>
              <w:pStyle w:val="TableContents"/>
              <w:bidi w:val="0"/>
              <w:spacing w:before="0" w:after="1"/>
              <w:ind w:left="0" w:right="0" w:hanging="0"/>
              <w:jc w:val="center"/>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196" w:type="dxa"/>
            <w:tcBorders/>
            <w:vAlign w:val="center"/>
          </w:tcPr>
          <w:p>
            <w:pPr>
              <w:pStyle w:val="TableContents"/>
              <w:bidi w:val="0"/>
              <w:spacing w:before="0" w:after="1"/>
              <w:ind w:left="0" w:right="0" w:hanging="0"/>
              <w:jc w:val="center"/>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3,267</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1:</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93,897</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199,497</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1,129</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Government securities </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199,497</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1,129</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200,626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97,164</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200,626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accrued interest earned of $55 related to investments were included in prepaid expenses and other current assets on the condensed consolidated balance sheets. There was no allowance for expected credit losses on available-for-sale debt securities included as of March 31, 2026 as the unrealized losses were deemed to be temporary in 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the fair value of the Company’s investments, by contractual maturity, as of March 31, 2026:</w:t>
      </w:r>
    </w:p>
    <w:tbl>
      <w:tblPr>
        <w:tblW w:w="3577" w:type="dxa"/>
        <w:jc w:val="left"/>
        <w:tblInd w:w="0" w:type="dxa"/>
        <w:tblLayout w:type="fixed"/>
        <w:tblCellMar>
          <w:top w:w="0" w:type="dxa"/>
          <w:left w:w="0" w:type="dxa"/>
          <w:bottom w:w="0" w:type="dxa"/>
          <w:right w:w="0" w:type="dxa"/>
        </w:tblCellMar>
      </w:tblPr>
      <w:tblGrid>
        <w:gridCol w:w="2416"/>
        <w:gridCol w:w="109"/>
        <w:gridCol w:w="256"/>
        <w:gridCol w:w="79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34160" cy="175260"/>
                      <wp:effectExtent l="0" t="0" r="0" b="0"/>
                      <wp:wrapNone/>
                      <wp:docPr id="111" name="Frame111"/>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62560" cy="175260"/>
                      <wp:effectExtent l="0" t="0" r="0" b="0"/>
                      <wp:wrapNone/>
                      <wp:docPr id="113" name="Frame11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05460" cy="175260"/>
                      <wp:effectExtent l="0" t="0" r="0" b="0"/>
                      <wp:wrapNone/>
                      <wp:docPr id="114" name="Frame1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within 1 year</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198,018</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after 1 year through 5 years</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14,898</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212,916</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Related Party Balances and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related party transactions for:</w:t>
      </w:r>
    </w:p>
    <w:tbl>
      <w:tblPr>
        <w:tblW w:w="10205" w:type="dxa"/>
        <w:jc w:val="left"/>
        <w:tblInd w:w="0" w:type="dxa"/>
        <w:tblLayout w:type="fixed"/>
        <w:tblCellMar>
          <w:top w:w="0" w:type="dxa"/>
          <w:left w:w="0" w:type="dxa"/>
          <w:bottom w:w="0" w:type="dxa"/>
          <w:right w:w="0" w:type="dxa"/>
        </w:tblCellMar>
      </w:tblPr>
      <w:tblGrid>
        <w:gridCol w:w="7878"/>
        <w:gridCol w:w="346"/>
        <w:gridCol w:w="218"/>
        <w:gridCol w:w="358"/>
        <w:gridCol w:w="358"/>
        <w:gridCol w:w="218"/>
        <w:gridCol w:w="436"/>
        <w:gridCol w:w="393"/>
      </w:tblGrid>
      <w:tr>
        <w:trPr/>
        <w:tc>
          <w:tcPr>
            <w:tcW w:w="7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02530" cy="175260"/>
                      <wp:effectExtent l="0" t="0" r="0" b="0"/>
                      <wp:wrapNone/>
                      <wp:docPr id="115" name="Frame115"/>
                      <a:graphic xmlns:a="http://schemas.openxmlformats.org/drawingml/2006/main">
                        <a:graphicData uri="http://schemas.microsoft.com/office/word/2010/wordprocessingShape">
                          <wps:wsp>
                            <wps:cNvSpPr txBox="1"/>
                            <wps:spPr>
                              <a:xfrm>
                                <a:off x="0" y="0"/>
                                <a:ext cx="5002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8430" cy="175260"/>
                      <wp:effectExtent l="0" t="0" r="0" b="0"/>
                      <wp:wrapNone/>
                      <wp:docPr id="117" name="Frame11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7330" cy="175260"/>
                      <wp:effectExtent l="0" t="0" r="0" b="0"/>
                      <wp:wrapNone/>
                      <wp:docPr id="118" name="Frame118"/>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27330" cy="175260"/>
                      <wp:effectExtent l="0" t="0" r="0" b="0"/>
                      <wp:wrapNone/>
                      <wp:docPr id="119" name="Frame119"/>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8430" cy="175260"/>
                      <wp:effectExtent l="0" t="0" r="0" b="0"/>
                      <wp:wrapNone/>
                      <wp:docPr id="120" name="Frame12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76860" cy="175260"/>
                      <wp:effectExtent l="0" t="0" r="0" b="0"/>
                      <wp:wrapNone/>
                      <wp:docPr id="121" name="Frame12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49555" cy="175260"/>
                      <wp:effectExtent l="0" t="0" r="0" b="0"/>
                      <wp:wrapNone/>
                      <wp:docPr id="122" name="Frame12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8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3" w:type="dxa"/>
            <w:tcBorders/>
            <w:vAlign w:val="center"/>
          </w:tcPr>
          <w:p>
            <w:pPr>
              <w:pStyle w:val="TableContents"/>
              <w:bidi w:val="0"/>
              <w:spacing w:before="0" w:after="1"/>
              <w:ind w:left="0" w:right="0" w:hanging="0"/>
              <w:jc w:val="center"/>
              <w:rPr/>
            </w:pPr>
            <w:r>
              <w:rPr/>
              <w:t>​</w:t>
            </w:r>
          </w:p>
        </w:tc>
      </w:tr>
      <w:tr>
        <w:trPr/>
        <w:tc>
          <w:tcPr>
            <w:tcW w:w="78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3" w:type="dxa"/>
            <w:tcBorders/>
            <w:vAlign w:val="center"/>
          </w:tcPr>
          <w:p>
            <w:pPr>
              <w:pStyle w:val="TableContents"/>
              <w:bidi w:val="0"/>
              <w:spacing w:before="0" w:after="1"/>
              <w:ind w:left="0" w:right="0" w:hanging="0"/>
              <w:jc w:val="center"/>
              <w:rPr/>
            </w:pPr>
            <w:r>
              <w:rPr/>
              <w:t>​</w:t>
            </w:r>
          </w:p>
        </w:tc>
      </w:tr>
      <w:tr>
        <w:trPr/>
        <w:tc>
          <w:tcPr>
            <w:tcW w:w="78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8" w:type="dxa"/>
            <w:tcBorders/>
            <w:vAlign w:val="center"/>
          </w:tcPr>
          <w:p>
            <w:pPr>
              <w:pStyle w:val="TableContents"/>
              <w:bidi w:val="0"/>
              <w:spacing w:before="0" w:after="1"/>
              <w:ind w:left="0" w:right="0" w:hanging="0"/>
              <w:jc w:val="center"/>
              <w:rPr/>
            </w:pPr>
            <w:r>
              <w:rPr/>
              <w:t>  ​ ​ ​</w:t>
            </w:r>
          </w:p>
        </w:tc>
        <w:tc>
          <w:tcPr>
            <w:tcW w:w="6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center"/>
              <w:rPr/>
            </w:pPr>
            <w:r>
              <w:rPr/>
              <w:t>  ​ ​ ​</w:t>
            </w:r>
          </w:p>
        </w:tc>
      </w:tr>
      <w:tr>
        <w:trPr/>
        <w:tc>
          <w:tcPr>
            <w:tcW w:w="78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 and expenses paid to companies controlled by officers included in 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1"/>
              <w:ind w:left="0" w:right="0" w:hanging="0"/>
              <w:jc w:val="righ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8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 paid to companies controlled by officers included in general and administrative</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pPr>
            <w:r>
              <w:rPr/>
              <w:t>—</w:t>
            </w:r>
          </w:p>
        </w:tc>
        <w:tc>
          <w:tcPr>
            <w:tcW w:w="358"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93"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are in the normal course of operations and are measured at fair value, which is the amount of consideration established and agreed to by the related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Stockholders’ Equity (Deficit)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authorized 1,000,000 shares of preferred stock, par value $0.0001 per share. The Company’s board of Directors is authorized, without further stockholder action, to issue preferred stock in one or more series and to establish the designations, powers, preferences and rights of each such series and the qualifications, limitations and restrictions thereof. As of March 31, 2026 and December 31, 2025, no shares of Preferred Stock were issued and outstanding.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Board of Directors has authorized 500,000,000 shares of common stock, par value $0.0001. As of March 31, 2026 and December 31, 2025, the Company had 82,242,434 and 81,771,422 shares of common stock issued and outstanding.</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the Company had 30,276,119 outstanding warrants to purchase common stock at a weighted average exercise price of $8.24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Call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various call option agreements entered into with certain stockholders prior to the Company’s Business Combination, the Company retains the right to repurchase up to an aggregate of 6,124,297 shares of its outstanding common stock at fixed exercise prices ranging from $1.12 CAD to $2.24 per share. These call options are exercisable at the Company’s discretion and expire at various dates ranging from December 31, 2035, through March 7, 2043. The call options are not subject to any service, performance, or market-based vesting conditions and are not transferable without Company consent. The Company has not exercised any of these call options to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call options continue to be valid and enforceable following the consummation of the business combination. These instruments are presented within stockholders’ equity (deficit) at the original consideration price per share and are not remeasured unless exercised.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Exchangeable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the Company had 23,692,820 and 24,011,017 exchangeable shares outstanding. These shares are legally issued by Terrestrial Energy Canada (Exchange) Inc., a wholly-owned subsidiary of the Company (“ExchangeCo”). Each exchangeable share is convertible on a 1-for-1 basis into the Company’s common shares, either at the option of the holder or upon the occurrence of certain events. The exchangeable shares carry economic rights and dividend entitlements equivalent to the Company’s corresponding equity instruments and participate in Company-level voting through a special voting mechanism. Exchangeable shares hold limited economic rights with respect to ExchangeCo and are not entitled to dividends of ExchangeCo; provided that holders of exchangeable shares are entitled to dividends paid on Company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entered into a support and exchange agreement with ExchangeCo and a trustee to guarantee all obligations associated with the exchangeable shares and ensure that holders receive equivalent rights that are intended to be substantively equivalent to direct shareholders of the Company. As such, these instruments are treated as equity of the Company and not reported as noncontrolling interests. During the three months ended March 31, 2026 and 2025, 318,197 and zero exchangeable shares, respectively, were exchanged for common shares.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Net Loss per Share of Common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Business Combination,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that was outstanding prior to the Business Combination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preferred stock. The Company may be required to issue additional common shares pursuant to contingent value rights (“CVRs”) issued in connection with the Business Combination. The number of shares issuable is contingent upon the Company’s future stock price performance over a specified measurement period. As the contingency has not been met as of March 31, 2026, these shares have not been included in the calculation of basic or diluted net loss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the Business Combination,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three months ended March 31, 2026 and 2025, as the effect of any potentially dilutive security is anti-dilutive due to the net losses in those periods.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sets forth the computation of basic and dilutive net loss per share:</w:t>
      </w:r>
    </w:p>
    <w:tbl>
      <w:tblPr>
        <w:tblW w:w="7987" w:type="dxa"/>
        <w:jc w:val="left"/>
        <w:tblInd w:w="0" w:type="dxa"/>
        <w:tblLayout w:type="fixed"/>
        <w:tblCellMar>
          <w:top w:w="0" w:type="dxa"/>
          <w:left w:w="0" w:type="dxa"/>
          <w:bottom w:w="0" w:type="dxa"/>
          <w:right w:w="0" w:type="dxa"/>
        </w:tblCellMar>
      </w:tblPr>
      <w:tblGrid>
        <w:gridCol w:w="4651"/>
        <w:gridCol w:w="346"/>
        <w:gridCol w:w="211"/>
        <w:gridCol w:w="1141"/>
        <w:gridCol w:w="346"/>
        <w:gridCol w:w="211"/>
        <w:gridCol w:w="108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953385" cy="175260"/>
                      <wp:effectExtent l="0" t="0" r="0" b="0"/>
                      <wp:wrapNone/>
                      <wp:docPr id="123" name="Frame123"/>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24535" cy="175260"/>
                      <wp:effectExtent l="0" t="0" r="0" b="0"/>
                      <wp:wrapNone/>
                      <wp:docPr id="126" name="Frame1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86435" cy="175260"/>
                      <wp:effectExtent l="0" t="0" r="0" b="0"/>
                      <wp:wrapNone/>
                      <wp:docPr id="129" name="Frame12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(6,252)</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105,861,986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63,170,918</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weighted-average shares outstanding above include both common shares and exchangeable shares outstanding at March 31, 2026 and 2025 as these shares are exchangeable on a one-for-one basis into the Company’s common shares and are therefore economically equivalent to common shares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sets forth a listing of potentially dilutive securities that were excluded from the calculation of diluted net loss per share attributable to common shareholders because the impact of including them would have been anti-dilutive or out-of-the-money. Potentially dilutive securities include stock options, restricted stock units, warrants, and other share-settled instruments: </w:t>
      </w:r>
    </w:p>
    <w:tbl>
      <w:tblPr>
        <w:tblW w:w="5652" w:type="dxa"/>
        <w:jc w:val="left"/>
        <w:tblInd w:w="0" w:type="dxa"/>
        <w:tblLayout w:type="fixed"/>
        <w:tblCellMar>
          <w:top w:w="0" w:type="dxa"/>
          <w:left w:w="0" w:type="dxa"/>
          <w:bottom w:w="0" w:type="dxa"/>
          <w:right w:w="0" w:type="dxa"/>
        </w:tblCellMar>
      </w:tblPr>
      <w:tblGrid>
        <w:gridCol w:w="2491"/>
        <w:gridCol w:w="346"/>
        <w:gridCol w:w="146"/>
        <w:gridCol w:w="1036"/>
        <w:gridCol w:w="346"/>
        <w:gridCol w:w="146"/>
        <w:gridCol w:w="114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81785" cy="175260"/>
                      <wp:effectExtent l="0" t="0" r="0" b="0"/>
                      <wp:wrapNone/>
                      <wp:docPr id="130" name="Frame13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2710" cy="175260"/>
                      <wp:effectExtent l="0" t="0" r="0" b="0"/>
                      <wp:wrapNone/>
                      <wp:docPr id="132" name="Frame1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57860" cy="175260"/>
                      <wp:effectExtent l="0" t="0" r="0" b="0"/>
                      <wp:wrapNone/>
                      <wp:docPr id="133" name="Frame1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2710" cy="175260"/>
                      <wp:effectExtent l="0" t="0" r="0" b="0"/>
                      <wp:wrapNone/>
                      <wp:docPr id="135"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24535" cy="175260"/>
                      <wp:effectExtent l="0" t="0" r="0" b="0"/>
                      <wp:wrapNone/>
                      <wp:docPr id="136" name="Frame13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17,550,369</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19,198,254</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1,232,794</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(public and private)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30,276,119</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12,670,143</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49,059,282</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31,868,397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7. 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2014, the Company adopted the amended and restated Terrestrial Energy Inc. 2014 Stock Options Plan (“the 2014 Plan”). In connection with the Company’s redomestication to Delaware, outstanding awards under the 2014 Plan were assumed by the Terrestrial Energy Delaware Inc. 2024 Stock Option Plan, which was most recently amended and restated in October 2024, as the Terrestrial Energy Inc. Second Amended and Restated 2024 Stock Option Plan. In October 2025, the Company adopted the 2025 Equity Incentive Plan, effective immediately prior to the closing of the (the “Current Plan”). As of March 31, 2026, the Current Plan authorizes the Company to award equity awards resulting in the issuance of up to 38,741,269 shares of common stock. The Current Plan provides for grants of incentive stock options, non-qualified stock options, restricted stock awards, restricted stock unit awards, stock appreciation rights and other awards to employees, non-employee directors, consultants and advisors of the Company. The Current Plan is designed to promote the interests of the Company using equity investment interests to attract, motivate, and retain individuals. The Plan is administered by the Board of Directors. The Board determines the type, number, vesting requirements and other features and conditions of such awards. Generally, stock options granted from the Current Plan have a contractual term of ten years from the date of the grant and vest over one to three years, subject to the discretion of the Compensation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recorded stock-based compensation expense for options of $440 and $180 for the three months ended March 31, 2026 and 2025, respectively. As of March 31, 2026, total compensation expense related to awards not yet recognized was approximately $1,532 which is expected to be recognized over a weighted average period of 0.9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recorded stock-based compensation expense for RSU awards of $2,321 and $0 for the three months ended March 31, 2026 and 2025, respectively. The total unrecognized RSU expense as of March 31, 2026 was $8,952 with a weighted-average period over which it is to be recognized of 1.3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8. Income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United States federal and state taxes as well as other foreign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and 2025, the Company recorded a provision for income taxes of $37 and $0, which represented an effective tax rate of (0.4%) and 0%, respectively. The effective income tax rates for both the three months ended March 31, 2026 and 2025 are different from the U.S. federal statutory rate of 21.0% due to the valuation allowance.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chief operating decision maker (“CODM”) has been identified as the Chief Executive Officer in accordance with ASC 280-10-50-5, who reviews the assets, operating results, and financial metrics for the Company as a whole to make decisions about allocating resources and assessing financial performance. Accordingly, management has determined that there is only one 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when evaluating the Company’s performance and making key decisions regarding resource allocation the CODM reviews several key metrics, which include the following:</w:t>
      </w:r>
    </w:p>
    <w:p>
      <w:pPr>
        <w:pStyle w:val="TextBody"/>
        <w:bidi w:val="0"/>
        <w:spacing w:before="0" w:after="240"/>
        <w:ind w:left="0" w:right="0" w:hanging="0"/>
        <w:jc w:val="left"/>
        <w:rPr/>
      </w:pPr>
      <w:r>
        <w:rPr/>
        <w:t>​</w:t>
      </w:r>
    </w:p>
    <w:tbl>
      <w:tblPr>
        <w:tblW w:w="5557" w:type="dxa"/>
        <w:jc w:val="left"/>
        <w:tblInd w:w="0" w:type="dxa"/>
        <w:tblLayout w:type="fixed"/>
        <w:tblCellMar>
          <w:top w:w="0" w:type="dxa"/>
          <w:left w:w="0" w:type="dxa"/>
          <w:bottom w:w="0" w:type="dxa"/>
          <w:right w:w="0" w:type="dxa"/>
        </w:tblCellMar>
      </w:tblPr>
      <w:tblGrid>
        <w:gridCol w:w="3091"/>
        <w:gridCol w:w="346"/>
        <w:gridCol w:w="211"/>
        <w:gridCol w:w="676"/>
        <w:gridCol w:w="346"/>
        <w:gridCol w:w="211"/>
        <w:gridCol w:w="67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962785" cy="175260"/>
                      <wp:effectExtent l="0" t="0" r="0" b="0"/>
                      <wp:wrapNone/>
                      <wp:docPr id="137" name="Frame137"/>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29260" cy="175260"/>
                      <wp:effectExtent l="0" t="0" r="0" b="0"/>
                      <wp:wrapNone/>
                      <wp:docPr id="140" name="Frame1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3,289</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significant non-cash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4,878</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 has not earned significant revenue yet, the key measures of segment profit or loss reviewed by the Company’s CODM are research and development costs and general and administrative expenses to monitor, manage and forecast cash to ensure enough capital is available for working capital needs. The CODM also reviews research and development costs and general and administrative costs to manage, maintain and enforce all contractual agreements to ensure costs are aligned with all agreements and budget.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geographic location of long-lived assets is as follows:</w:t>
      </w:r>
    </w:p>
    <w:tbl>
      <w:tblPr>
        <w:tblW w:w="3933" w:type="dxa"/>
        <w:jc w:val="left"/>
        <w:tblInd w:w="0" w:type="dxa"/>
        <w:tblLayout w:type="fixed"/>
        <w:tblCellMar>
          <w:top w:w="0" w:type="dxa"/>
          <w:left w:w="0" w:type="dxa"/>
          <w:bottom w:w="0" w:type="dxa"/>
          <w:right w:w="0" w:type="dxa"/>
        </w:tblCellMar>
      </w:tblPr>
      <w:tblGrid>
        <w:gridCol w:w="1201"/>
        <w:gridCol w:w="346"/>
        <w:gridCol w:w="242"/>
        <w:gridCol w:w="658"/>
        <w:gridCol w:w="346"/>
        <w:gridCol w:w="271"/>
        <w:gridCol w:w="869"/>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62635" cy="175260"/>
                      <wp:effectExtent l="0" t="0" r="0" b="0"/>
                      <wp:wrapNone/>
                      <wp:docPr id="144" name="Frame14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53670" cy="175260"/>
                      <wp:effectExtent l="0" t="0" r="0" b="0"/>
                      <wp:wrapNone/>
                      <wp:docPr id="146" name="Frame14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17830" cy="175260"/>
                      <wp:effectExtent l="0" t="0" r="0" b="0"/>
                      <wp:wrapNone/>
                      <wp:docPr id="147" name="Frame14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2085" cy="175260"/>
                      <wp:effectExtent l="0" t="0" r="0" b="0"/>
                      <wp:wrapNone/>
                      <wp:docPr id="149" name="Frame14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51815" cy="175260"/>
                      <wp:effectExtent l="0" t="0" r="0" b="0"/>
                      <wp:wrapNone/>
                      <wp:docPr id="150" name="Frame15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2,166</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3,449</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3,357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Litigation and loss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and contractual rights. There are no currently pending legal proceedings that the Company believes will have a material adverse impact on the business or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11.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from March 31, 2026, the date of these condensed consolidated financial statements, through May 14, 2026, the issuance date of these condensed consolidated financial statements for events requiring recognition or disclosure in the condensed consolidated financial statements. The Company concluded that no events have occurred that would require recognition or disclosure in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 Management’s Discussion and Analysis of Financial Condition and Results of Operations</w:t>
      </w:r>
      <w:bookmarkStart w:id="10" w:name="Item2ManagementsDiscussionandAnalysisofF"/>
      <w:bookmarkEnd w:id="10"/>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Unless the context otherwise requires, all references in this section to “we”, “us”, “our”, its”, “Terrestrial Energy”, or the “Company” refer to Terrestrial Energy Inc. and its subsidiaries.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for the three months ended March 31, 2026 and 2025, should be read together with our unaudited condensed consolidated financial statements and related notes included elsewhere in this Quarterly Report and in conjunction with the audited consolidated financial statements and notes thereto included in our Annual Report on Form 10-K for the fiscal year ended December 31, 2025, which was filed on March 30, 2026. The following discussion contains “forward-looking statements” that reflect our future plans, estimates, beliefs and expected performance. Our actual results may differ materially from those currently anticipated and expressed in such forward-looking statements as a result of a number of factors. We caution that assumptions, expectations, projections, intentions or beliefs about future events may, and often do, vary from actual results and the differences can be material. All amounts in the below discussion and analysis are in thousands except share and per share data or where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Terrestrial Energy Inc. is an advanced nuclear technology company developing the Integral Molten Salt Reactor nuclear plant, which uses the Company’s proprietary design of Generation IV reactor technology. The IMSR Plant is designed to offer large improvements in affordability and utility of nuclear plants and by extension the cost competitiveness of nuclear energy supply when compared to plants built using Light Water Reactor technology as well as other Generation IV technology.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IMSR Plant uses molten salt reactor technology, which is characterized by its distinctive use of a molten salt eutectic that acts as both nuclear fuel and reactor coolant. This approach enables stable, high-temperature reactor operation, which supports high-efficiency electricity generation using steam turbines as well as direct use as a supply of thermal energy for industrial plant operators seeking clean energy alternatives to fossil fuel combustion in industrial processes.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that the operational advantages accruing from reactor technology and plant design choices place the IMSR Plant competitively in a large and growing serviceable addressable market valued at $1.4 trillion today in Organization for Economic Co-operation and Development (OECD) countries. This market includes both clean, firm, and high-temperature thermal energy, and grid-based electric power supply, across a wide range of industrial and grid applications.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its choice of long-proven molten salt reactor technology for the IMSR Plant, designed within a pragmatic and market-focused innovative process that includes the use of standard nuclear fuel, delivers a market-competitive product in a compelling time frame. The IMSR Plant is scheduled for first commercial operation by the mid-2030s, and fleet operation commencing in the late 2030s.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timing of IMSR Plant development is aligned with changes in market demand for nuclear energy and nuclear reactor innovation. These are driven by major industrial innovations in other industrial sectors, by national energy supply insecurity, elevated by the conflict in Ukraine and the conflict in Iran, by national energy policy objectives particularly in the US, and by a broad realization that net-zero is not feasible without a massive expansion in nuclear energy supply as evidenced by declarations at COP28 in Dubai.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History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(the “Company”). On October 28, 2025, pursuant to the Business Combination Agreement, dated as of March 26, 2025, as amended, the Company completed the Business Combination with Terrestrial Energy Development Inc., (“TEDI”), a Delaware corporation,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DOE Other Transaction Authority (“OTA”) Agreements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December 2025 and January 2026, the Company executed two OTA agreements with the DOE under programs established by Executive Order 14301. The first agreement, for Project TETRA under the DOE's Advanced Reactor Pilot Program, provides for the construction and operation of a pilot reactor utilizing the Company's IMSR technology and SALEU fuel, enabling the Company to advance from design to operation under DOE authorization outside traditional federal contracting constraints. The second agreement, for Project TEFLA under the DOE's Fuel Line Pilot Program, provides for a pilot production facility to demonstrate the Company's proprietary IMSR Fuel Salt production technology using SALEU feedstock. Fuel produced under Project TEFLA will support the Company’s Project TETRA test reactor project, being developed under DOE’s Advanced Reactor Pilot Program. Together, these agreements are intended to support the commercialization of the Company's IMSR Plant.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 the three months ended March 31,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our condensed consolidated statement of operations for the three month periods ended March 31, 2026 and 2025, and the dollar and percentage change between the two periods:</w:t>
      </w:r>
    </w:p>
    <w:tbl>
      <w:tblPr>
        <w:tblW w:w="7882" w:type="dxa"/>
        <w:jc w:val="left"/>
        <w:tblInd w:w="0" w:type="dxa"/>
        <w:tblLayout w:type="fixed"/>
        <w:tblCellMar>
          <w:top w:w="0" w:type="dxa"/>
          <w:left w:w="0" w:type="dxa"/>
          <w:bottom w:w="0" w:type="dxa"/>
          <w:right w:w="0" w:type="dxa"/>
        </w:tblCellMar>
      </w:tblPr>
      <w:tblGrid>
        <w:gridCol w:w="2761"/>
        <w:gridCol w:w="346"/>
        <w:gridCol w:w="211"/>
        <w:gridCol w:w="796"/>
        <w:gridCol w:w="346"/>
        <w:gridCol w:w="211"/>
        <w:gridCol w:w="691"/>
        <w:gridCol w:w="346"/>
        <w:gridCol w:w="841"/>
        <w:gridCol w:w="146"/>
        <w:gridCol w:w="871"/>
        <w:gridCol w:w="31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53235" cy="175260"/>
                      <wp:effectExtent l="0" t="0" r="0" b="0"/>
                      <wp:wrapNone/>
                      <wp:docPr id="151" name="Frame15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05460" cy="175260"/>
                      <wp:effectExtent l="0" t="0" r="0" b="0"/>
                      <wp:wrapNone/>
                      <wp:docPr id="154" name="Frame1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8785" cy="175260"/>
                      <wp:effectExtent l="0" t="0" r="0" b="0"/>
                      <wp:wrapNone/>
                      <wp:docPr id="157" name="Frame1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34035" cy="175260"/>
                      <wp:effectExtent l="0" t="0" r="0" b="0"/>
                      <wp:wrapNone/>
                      <wp:docPr id="159" name="Frame15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2710" cy="175260"/>
                      <wp:effectExtent l="0" t="0" r="0" b="0"/>
                      <wp:wrapNone/>
                      <wp:docPr id="160" name="Frame1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53085" cy="175260"/>
                      <wp:effectExtent l="0" t="0" r="0" b="0"/>
                      <wp:wrapNone/>
                      <wp:docPr id="161" name="Frame16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0660" cy="175260"/>
                      <wp:effectExtent l="0" t="0" r="0" b="0"/>
                      <wp:wrapNone/>
                      <wp:docPr id="162" name="Frame1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45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1"/>
              <w:ind w:left="0" w:right="0" w:hanging="0"/>
              <w:jc w:val="center"/>
              <w:rPr/>
            </w:pPr>
            <w:r>
              <w:rPr/>
              <w:t> </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center"/>
              <w:rPr/>
            </w:pPr>
            <w:r>
              <w:rPr/>
              <w:t> </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3,289</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4,015</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(4,878)</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 related party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36,225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gain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2,839</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(6,252)</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(4,214)</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(6,252)</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(4,251)</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expenses represent costs incurred for designing and engineering the IMSR Plant, including the costs of developing design tools. All research and development costs related to product development are expensed as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 for the three months ended March 31, 2026 and 2025 was $4,566 and $1,408, respectively. The increase is attributed to an increase in R&amp;D activities performed relating to the IMSR project, compared to 2025, as the Company continues to increase its fuel and graphite testing along with headcount additions to support commercialization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 for the three months ended March 31, 2026 and 2025 was $7,304 and $3,289, respectively. The increase is primarily attributable to additional stock-based compensation expense associated with stock options and restricted stock units issued, along with overall operational growth including headcount as part of the business growth strategy.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consists primarily of depreciation of our computer software and equipment and amortization of our patents and 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for the three months ended March 31, 2026 and 2025 was $61 and $181, respectively. The decrease is attributed to a reduction in total net depreciable fixed assets, as the Company had assets which were fully depreciated in fiscal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 and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and Interest expense —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expense and interest expense — related parties decreased by $1,369, or 100%, when comparing the results for the three months ended March 31, 2026 and 2025. The decrease was primarily due to conversion of convertible notes by the Company in the fourth quarter of 2025, resulting in no debt outstanding or accruing interest in the first quarter of 2026.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and Dividend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and dividend income increased by $1,449 for the three months ended March 31, 2026 when compared to the same period in 2025 as a result of higher short-term investment and long-term investment balances.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Company’s primary sources of liquidity have been cash flows from private fundraising offerings to related parties or other investors and other financing activities to fund operations. For the three months ended March 31, 2026 and 2025, the Company reported operating losses of $11,931 and $4,878, respectively, and negative cash flows from operations of $9,093 and $2,760, respectively. As of March 31, 2026, the Company had $76,946 in cash and cash equivalents and $198,018 in short-term investments. The Company had net working capital of $271,695 and an accumulated deficit of $135,128. Management expects that significant on-going expenditures will be necessary to successfully implement our business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commenced trading on Nasdaq under the symbol “IMSR” on October 29, 2025, after completing its business combination with HCM II on October 28, 2025. Pursuant to the closing of the business combination, the Company received in excess of $292,000 in gross proceeds before expenses, which included gross proceeds of $50,000 from the sale of common stock in a private placement (the “PIPE”) and approximately $242,000 from HCM II’s trust account following redemptions of less than 1%.</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Company’s future capital requirements will depend on many factors, including the timing and extent of spending to support further sales and marketing, research and development efforts, the Company’s commercial development and deployment of its IMSR Plants, and future revenues. The Company may seek to obtain additional financing to commercialize the IMSR Plant technology through possible public or private equity offerings, debt financings, corporate collaborations, and other means. We believe that we have sufficient cash and cash equivalents and investments, along with continued access to capital markets, to satisfy our cash requirements for the next 12 months and beyond based on current operating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for the three months ended March 31,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cash flows from operating, investing and financing activities for the three months ended March 31, 2026 and 2025:</w:t>
      </w:r>
    </w:p>
    <w:tbl>
      <w:tblPr>
        <w:tblW w:w="6458" w:type="dxa"/>
        <w:jc w:val="center"/>
        <w:tblInd w:w="0" w:type="dxa"/>
        <w:tblLayout w:type="fixed"/>
        <w:tblCellMar>
          <w:top w:w="0" w:type="dxa"/>
          <w:left w:w="0" w:type="dxa"/>
          <w:bottom w:w="0" w:type="dxa"/>
          <w:right w:w="0" w:type="dxa"/>
        </w:tblCellMar>
      </w:tblPr>
      <w:tblGrid>
        <w:gridCol w:w="3466"/>
        <w:gridCol w:w="346"/>
        <w:gridCol w:w="211"/>
        <w:gridCol w:w="796"/>
        <w:gridCol w:w="346"/>
        <w:gridCol w:w="211"/>
        <w:gridCol w:w="691"/>
        <w:gridCol w:w="391"/>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00910" cy="175260"/>
                      <wp:effectExtent l="0" t="0" r="0" b="0"/>
                      <wp:wrapNone/>
                      <wp:docPr id="163" name="Frame16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05460" cy="175260"/>
                      <wp:effectExtent l="0" t="0" r="0" b="0"/>
                      <wp:wrapNone/>
                      <wp:docPr id="166" name="Frame1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38785" cy="175260"/>
                      <wp:effectExtent l="0" t="0" r="0" b="0"/>
                      <wp:wrapNone/>
                      <wp:docPr id="169" name="Frame1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48920" cy="175260"/>
                      <wp:effectExtent l="0" t="0" r="0" b="0"/>
                      <wp:wrapNone/>
                      <wp:docPr id="170" name="Frame17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91" w:type="dxa"/>
            <w:tcBorders/>
            <w:vAlign w:val="center"/>
          </w:tcPr>
          <w:p>
            <w:pPr>
              <w:pStyle w:val="TableContents"/>
              <w:bidi w:val="0"/>
              <w:spacing w:before="0" w:after="1"/>
              <w:ind w:left="0" w:right="0" w:hanging="0"/>
              <w:jc w:val="center"/>
              <w:rPr/>
            </w:pPr>
            <w:r>
              <w:rPr/>
              <w:t>​</w: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1"/>
              <w:ind w:left="0" w:right="0" w:hanging="0"/>
              <w:jc w:val="center"/>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91"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10,945</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used in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three months ended March 31, 2026 was $9,093 compared to $2,760 for the three months ended March 31, 2025, an increase of $6,333. The increase was primarily due to an increase in the Company’s operating loss after non-cash items. The cause of the increase in the Company’s operating loss was an increase in engineering costs and general and administrative costs as discussed above.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used in 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for the three months ended March 31, 2026 and March 31, 2025 was $11,506 and $184 The increase was primarily related to purchases of short-term and long-term investments, partially offset by redemptions of short-term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provided by 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provided by financing activities for the three months ended March 31, 2026 was $149 compared to $10,945 for the three months ended March 31, 2025, a decrease of $10,796. The decrease was a result of issuances of convertible notes of $10,985 in the three months ended March 31, 2025 as compared to $0 in the current period.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Part II, Item 7, Management’s Discussion and Analysis of Financial Condition and Results of Operation in our Annual Report on Form 10-K for the fiscal year ended December 31, 2025 provides a more complete discussion of our critical accounting policies and estimates.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has been no adoption of any new accounting pronouncements.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expects to retain its emerging growth company status until the earliest of:</w:t>
      </w:r>
    </w:p>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end of the fiscal</w:t>
            </w:r>
            <w:r>
              <w:rPr>
                <w:caps w:val="false"/>
                <w:smallCaps w:val="false"/>
              </w:rPr>
              <w:t> </w:t>
            </w:r>
            <w:r>
              <w:rPr>
                <w:rFonts w:ascii="Times New Roman;Times;serif" w:hAnsi="Times New Roman;Times;serif"/>
                <w:b w:val="false"/>
                <w:i w:val="false"/>
                <w:caps w:val="false"/>
                <w:smallCaps w:val="false"/>
                <w:sz w:val="20"/>
              </w:rPr>
              <w:t>year in which its annual revenues exceed $1.2</w:t>
            </w:r>
            <w:r>
              <w:rPr>
                <w:caps w:val="false"/>
                <w:smallCaps w:val="false"/>
              </w:rPr>
              <w:t> </w:t>
            </w:r>
            <w:r>
              <w:rPr>
                <w:rFonts w:ascii="Times New Roman;Times;serif" w:hAnsi="Times New Roman;Times;serif"/>
                <w:b w:val="false"/>
                <w:i w:val="false"/>
                <w:caps w:val="false"/>
                <w:smallCaps w:val="false"/>
                <w:sz w:val="20"/>
              </w:rPr>
              <w:t>billion;</w:t>
            </w:r>
          </w:p>
        </w:tc>
      </w:tr>
    </w:tbl>
    <w:tbl>
      <w:tblPr>
        <w:tblW w:w="8613" w:type="dxa"/>
        <w:jc w:val="left"/>
        <w:tblInd w:w="0" w:type="dxa"/>
        <w:tblLayout w:type="fixed"/>
        <w:tblCellMar>
          <w:top w:w="0" w:type="dxa"/>
          <w:left w:w="0" w:type="dxa"/>
          <w:bottom w:w="0" w:type="dxa"/>
          <w:right w:w="0" w:type="dxa"/>
        </w:tblCellMar>
      </w:tblPr>
      <w:tblGrid>
        <w:gridCol w:w="23"/>
        <w:gridCol w:w="170"/>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end of the fiscal</w:t>
            </w:r>
            <w:r>
              <w:rPr>
                <w:caps w:val="false"/>
                <w:smallCaps w:val="false"/>
              </w:rPr>
              <w:t> </w:t>
            </w:r>
            <w:r>
              <w:rPr>
                <w:rFonts w:ascii="Times New Roman;Times;serif" w:hAnsi="Times New Roman;Times;serif"/>
                <w:b w:val="false"/>
                <w:i w:val="false"/>
                <w:caps w:val="false"/>
                <w:smallCaps w:val="false"/>
                <w:sz w:val="20"/>
              </w:rPr>
              <w:t>year in which the fifth anniversary of its public company registration has occurred;</w:t>
            </w:r>
          </w:p>
        </w:tc>
      </w:tr>
    </w:tbl>
    <w:tbl>
      <w:tblPr>
        <w:tblW w:w="10053" w:type="dxa"/>
        <w:jc w:val="left"/>
        <w:tblInd w:w="0" w:type="dxa"/>
        <w:tblLayout w:type="fixed"/>
        <w:tblCellMar>
          <w:top w:w="0" w:type="dxa"/>
          <w:left w:w="0" w:type="dxa"/>
          <w:bottom w:w="0" w:type="dxa"/>
          <w:right w:w="0" w:type="dxa"/>
        </w:tblCellMar>
      </w:tblPr>
      <w:tblGrid>
        <w:gridCol w:w="23"/>
        <w:gridCol w:w="170"/>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date on which it has issued more than $1.0</w:t>
            </w:r>
            <w:r>
              <w:rPr>
                <w:caps w:val="false"/>
                <w:smallCaps w:val="false"/>
              </w:rPr>
              <w:t> </w:t>
            </w:r>
            <w:r>
              <w:rPr>
                <w:rFonts w:ascii="Times New Roman;Times;serif" w:hAnsi="Times New Roman;Times;serif"/>
                <w:b w:val="false"/>
                <w:i w:val="false"/>
                <w:caps w:val="false"/>
                <w:smallCaps w:val="false"/>
                <w:sz w:val="20"/>
              </w:rPr>
              <w:t>billion in non-convertible debt during the previous three-year period; and</w:t>
            </w:r>
          </w:p>
        </w:tc>
      </w:tr>
    </w:tbl>
    <w:tbl>
      <w:tblPr>
        <w:tblW w:w="4803" w:type="dxa"/>
        <w:jc w:val="left"/>
        <w:tblInd w:w="0" w:type="dxa"/>
        <w:tblLayout w:type="fixed"/>
        <w:tblCellMar>
          <w:top w:w="0" w:type="dxa"/>
          <w:left w:w="0" w:type="dxa"/>
          <w:bottom w:w="0" w:type="dxa"/>
          <w:right w:w="0" w:type="dxa"/>
        </w:tblCellMar>
      </w:tblPr>
      <w:tblGrid>
        <w:gridCol w:w="23"/>
        <w:gridCol w:w="170"/>
        <w:gridCol w:w="46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it qualifies as a large accelerated filer.</w:t>
            </w:r>
          </w:p>
        </w:tc>
      </w:tr>
    </w:tbl>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Item 3. Quantitative and Qualitative Disclosures About Market Risk</w:t>
      </w:r>
      <w:bookmarkStart w:id="11" w:name="Item3QuantitativeandQualitativeDisclosur"/>
      <w:bookmarkEnd w:id="11"/>
    </w:p>
    <w:p>
      <w:pPr>
        <w:pStyle w:val="TextBody"/>
        <w:bidi w:val="0"/>
        <w:spacing w:before="0" w:after="16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4. Controls and Procedures</w:t>
      </w:r>
      <w:bookmarkStart w:id="12" w:name="Item4ControlsandProcedures_598182"/>
      <w:bookmarkEnd w:id="12"/>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pBdr/>
        <w:shd w:fill="FFFFFF" w:val="clear"/>
        <w:bidi w:val="0"/>
        <w:spacing w:before="0" w:after="0"/>
        <w:ind w:left="0" w:right="0" w:firstLine="720"/>
        <w:jc w:val="both"/>
        <w:rPr/>
      </w:pPr>
      <w:r>
        <w:rPr/>
        <w:t> </w:t>
      </w:r>
      <w:r>
        <w:rPr>
          <w:rFonts w:ascii="Times New Roman;Times;serif" w:hAnsi="Times New Roman;Times;serif"/>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the Company’s management, including our Chief Executive Officer and Chief Financial Officer (together, the “Certifying Officers”), or persons performing similar functions, as appropriate, to allow timely decisions regarding required disclosure.</w:t>
      </w:r>
    </w:p>
    <w:p>
      <w:pPr>
        <w:pStyle w:val="TextBody"/>
        <w:pBdr/>
        <w:shd w:fill="FFFFFF" w:val="clear"/>
        <w:bidi w:val="0"/>
        <w:spacing w:before="0" w:after="0"/>
        <w:ind w:left="0" w:right="0" w:firstLine="720"/>
        <w:jc w:val="both"/>
        <w:rPr/>
      </w:pPr>
      <w:r>
        <w:rPr/>
        <w:t> </w:t>
      </w:r>
      <w:r>
        <w:rPr>
          <w:rFonts w:ascii="Times New Roman;Times;serif" w:hAnsi="Times New Roman;Times;serif"/>
          <w:sz w:val="20"/>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effective as of the end of March 31, 2026. Accordingly, Management believes that the financial statements contained elsewhere in this Report present fairly in all material respects our financial position, results of operations and cash flows for the period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pPr>
      <w:r>
        <w:rPr/>
        <w:t> </w:t>
      </w:r>
      <w:r>
        <w:rPr>
          <w:rFonts w:ascii="Times New Roman;Times;serif" w:hAnsi="Times New Roman;Times;serif"/>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our continued monitoring and maintenance of our control procedures as part of the implementation of Section 404 of the Sarbanes-Oxley Act of 2002, as amended, we continue to review, test, and improve the effectiveness of our internal controls. There have not been any changes in our internal control over financial reporting (as such term is defined in Rules 13a-15(f) and 15d-15(f) under the Exchange Act) that occurred during the three months ended March 31, 2026 that have materially affected, or are reasonably likely to materially affect, our internal control over financial reporting.</w:t>
      </w:r>
    </w:p>
    <w:p>
      <w:pPr>
        <w:pStyle w:val="TextBody"/>
        <w:shd w:fill="FFFFFF" w:val="clear"/>
        <w:bidi w:val="0"/>
        <w:spacing w:before="0" w:after="240"/>
        <w:ind w:left="0" w:right="0" w:firstLine="72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 — OTHER INFORMATION</w:t>
      </w:r>
      <w:bookmarkStart w:id="13" w:name="PARTIIOTHERINFORMATION_690738"/>
      <w:bookmarkEnd w:id="13"/>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Legal Proceedings</w:t>
      </w:r>
      <w:bookmarkStart w:id="14" w:name="Item1LegalProceedings_371811"/>
      <w:bookmarkEnd w:id="14"/>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currently do not have any claims, lawsuits, or proceedings against us that, individually or in the aggregate, would be considered material to our business or likely to result in a material adverse effect on our future operating results, financial condition, or cash flows.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1A. Risk Factors</w:t>
      </w:r>
      <w:bookmarkStart w:id="15" w:name="Item1ARiskFactors_559442"/>
      <w:bookmarkEnd w:id="15"/>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There are numerous factors that affect our business and operating results, many of which are beyond our control. Except as provided below, there are no material changes to the risk factors previously disclosed under the “Risk Factors” section in Terrestrial Energy Inc.’s Annual Report on Form 10-K for the fiscal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 Unregistered Sales of Equity Securities and Use of Proceeds</w:t>
      </w:r>
      <w:bookmarkStart w:id="16" w:name="Item2UnregisteredSalesofEquitySecurities"/>
      <w:bookmarkEnd w:id="16"/>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19, 2026, the Company issued 12,000 shares of its common stock to MZHCI, LLC, the Company’s public relations consulting firm for services rendered. The issuance of these shares was exempt from registration in reliance on Section 4(a)(2) of the Securities Act of 1933, as amended, and/or Regulation D promulgated thereunder, as a transaction by an issuer not involving a public offering. No underwriters were used in the issuance.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3. Defaults Upon Senior Securities</w:t>
      </w:r>
      <w:bookmarkStart w:id="17" w:name="Item3DefaultsUponSeniorSecurities_814057"/>
      <w:bookmarkEnd w:id="17"/>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4. Mine Safety Disclosures</w:t>
      </w:r>
      <w:bookmarkStart w:id="18" w:name="Item4MineSafetyDisclosures_568459"/>
      <w:bookmarkEnd w:id="18"/>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5. Other Information</w:t>
      </w:r>
      <w:bookmarkStart w:id="19" w:name="Item5OtherInformation_644059"/>
      <w:bookmarkEnd w:id="19"/>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Rule 10b5-1 Trading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first quarter of 2026, none of the Company’s directors or executive officers adopted, modified or terminated any “Rule 10b5-1 trading arrangement” or any “non-Rule 10b5-1 trading arrangement,” as each term is defined in Item 408 of Regulation 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6. Exhibits</w:t>
      </w:r>
      <w:bookmarkStart w:id="20" w:name="Item6Exhibits_92354"/>
      <w:bookmarkEnd w:id="20"/>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bookmarkStart w:id="21" w:name="EXHIBITINDEX_843050"/>
      <w:bookmarkEnd w:id="21"/>
    </w:p>
    <w:tbl>
      <w:tblPr>
        <w:tblW w:w="10205" w:type="dxa"/>
        <w:jc w:val="center"/>
        <w:tblInd w:w="0" w:type="dxa"/>
        <w:tblLayout w:type="fixed"/>
        <w:tblCellMar>
          <w:top w:w="0" w:type="dxa"/>
          <w:left w:w="0" w:type="dxa"/>
          <w:bottom w:w="0" w:type="dxa"/>
          <w:right w:w="0" w:type="dxa"/>
        </w:tblCellMar>
      </w:tblPr>
      <w:tblGrid>
        <w:gridCol w:w="853"/>
        <w:gridCol w:w="346"/>
        <w:gridCol w:w="9006"/>
      </w:tblGrid>
      <w:tr>
        <w:trPr/>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41655" cy="175260"/>
                      <wp:effectExtent l="0" t="0" r="0" b="0"/>
                      <wp:wrapNone/>
                      <wp:docPr id="171" name="Frame171"/>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718810" cy="175260"/>
                      <wp:effectExtent l="0" t="0" r="0" b="0"/>
                      <wp:wrapNone/>
                      <wp:docPr id="172" name="Frame172"/>
                      <a:graphic xmlns:a="http://schemas.openxmlformats.org/drawingml/2006/main">
                        <a:graphicData uri="http://schemas.microsoft.com/office/word/2010/wordprocessingShape">
                          <wps:wsp>
                            <wps:cNvSpPr txBox="1"/>
                            <wps:spPr>
                              <a:xfrm>
                                <a:off x="0" y="0"/>
                                <a:ext cx="571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No.</w:t>
            </w:r>
          </w:p>
        </w:tc>
        <w:tc>
          <w:tcPr>
            <w:tcW w:w="346" w:type="dxa"/>
            <w:tcBorders/>
            <w:vAlign w:val="center"/>
          </w:tcPr>
          <w:p>
            <w:pPr>
              <w:pStyle w:val="TableContents"/>
              <w:bidi w:val="0"/>
              <w:spacing w:before="0" w:after="0"/>
              <w:ind w:left="0" w:right="0" w:hanging="0"/>
              <w:jc w:val="left"/>
              <w:rPr/>
            </w:pPr>
            <w:r>
              <w:rPr/>
              <w:t>  ​ ​ ​</w:t>
            </w:r>
          </w:p>
        </w:tc>
        <w:tc>
          <w:tcPr>
            <w:tcW w:w="90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8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left"/>
              <w:rPr/>
            </w:pPr>
            <w:r>
              <w:rPr/>
              <w:t>​</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Composite Certificate of Incorporation of Terrestrial Energy Inc. (as amended through March 27, 2026) (incorporated by reference to Exhibit 3.1 of the Company’s Annual Report on Form 10-K, filed with the SEC on March 30, 2026)</w:t>
              </w:r>
            </w:hyperlink>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Composite Bylaws of Terrestrial Energy Inc. (as amended through October 28, 2025) (incorporated by reference to Exhibit 3.2 of the Company’s Annual Report on Form 10-K, filed with the SEC on March 30, 2026)</w:t>
              </w:r>
            </w:hyperlink>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Designations for Special Voting Preferred Stock (incorporated by reference to Exhibit 3.3 of the Company’s Annual Report on Form 10-K, filed with the SEC on March 30, 2026)</w:t>
              </w:r>
            </w:hyperlink>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Description of Securities</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Assignment, Assumption, Waiver and Covenant Agreement, dated as of February 18, 2026, by and between Simon Irish, Terrestrial Energy Inc., and Terrestrial Energy Development Inc. (incorporated by reference to Exhibit 10.15 of the Company’s Annual Report on Form 10-K, filed with the SEC on March 30, 2026)</w:t>
              </w:r>
            </w:hyperlink>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Canadian Addendum to Terrestrial Energy Inc. 2025 Equity Incentive Plan</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 of Restricted Stock Unit Award (Canadian) under 2025 Plan</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 of Non-Employee Director Restricted Stock Unit Award (Canadian) under 2025 Plan</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 of Stock Option Award (Canadian) under 2025 Plan</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 of Chief Executive Officer Pursuant to Section 302 of the Sarbanes-Oxley Act of 2002</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 of Chief Financial Officer Pursuant to Section 302 of the Sarbanes-Oxley Act of 2002</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 of Chief Executive Officer Pursuant to 18 U.S.C. Section 1350, as adopted pursuant to Section 906 of the Sarbanes-Oxley Act of 2002</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 of Chief Financial Officer Pursuant to 18 U.S.C. Section 1350, as adopted pursuant to Section 906 of the Sarbanes-Oxley Act of 2002</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HorizontalLine"/>
        <w:pBdr>
          <w:bottom w:val="single" w:sz="6" w:space="0" w:color="000000"/>
        </w:pBdr>
        <w:bidi w:val="0"/>
        <w:spacing w:before="0" w:after="0"/>
        <w:ind w:left="0" w:right="7654" w:hanging="0"/>
        <w:jc w:val="left"/>
        <w:rPr/>
      </w:pPr>
      <w:r>
        <w:rPr/>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40"/>
              <w:jc w:val="both"/>
              <w:rPr/>
            </w:pPr>
            <w:r>
              <w:rPr/>
              <w:t>†</w:t>
            </w:r>
          </w:p>
        </w:tc>
        <w:tc>
          <w:tcPr>
            <w:tcW w:w="12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Furnished herewith.</w:t>
      </w:r>
    </w:p>
    <w:p>
      <w:pPr>
        <w:pStyle w:val="TextBody"/>
        <w:pBdr/>
        <w:bidi w:val="0"/>
        <w:spacing w:before="0" w:after="240"/>
        <w:ind w:left="0" w:right="0" w:hanging="360"/>
        <w:jc w:val="both"/>
        <w:rPr/>
      </w:pPr>
      <w:r>
        <w:rPr/>
        <w:t xml:space="preserve">‡     </w:t>
      </w:r>
      <w:r>
        <w:rPr>
          <w:rFonts w:ascii="Times New Roman;Times;serif" w:hAnsi="Times New Roman;Times;serif"/>
          <w:sz w:val="20"/>
        </w:rPr>
        <w:t>Management contract or compensatory plan or arrangement.</w:t>
      </w:r>
    </w:p>
    <w:p>
      <w:pPr>
        <w:pStyle w:val="TextBody"/>
        <w:pBdr/>
        <w:bidi w:val="0"/>
        <w:spacing w:before="0" w:after="24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22" w:name="SIGNATURES_883092"/>
      <w:bookmarkEnd w:id="22"/>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14, 2026</w:t>
      </w:r>
    </w:p>
    <w:tbl>
      <w:tblPr>
        <w:tblW w:w="3231" w:type="dxa"/>
        <w:jc w:val="left"/>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TERRESTRIAL ENERGY INC.</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smallCaps/>
                <w:sz w:val="20"/>
              </w:rPr>
              <w:t>EGISTRANT</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Simon Irish</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 Irish</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Thrasher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19804/000110465926036846/tmb-20251231xex3d1.htm" TargetMode="External"/><Relationship Id="rId3" Type="http://schemas.openxmlformats.org/officeDocument/2006/relationships/hyperlink" Target="https://www.sec.gov/Archives/edgar/data/2019804/000110465926036846/tmb-20251231xex3d2.htm" TargetMode="External"/><Relationship Id="rId4" Type="http://schemas.openxmlformats.org/officeDocument/2006/relationships/hyperlink" Target="https://www.sec.gov/Archives/edgar/data/2019804/000110465926036846/tmb-20251231xex3d3.htm" TargetMode="External"/><Relationship Id="rId5" Type="http://schemas.openxmlformats.org/officeDocument/2006/relationships/hyperlink" Target="https://www.sec.gov/Archives/edgar/data/2019804/000110465926036846/tmb-20251231xex10d15.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11325</Words>
  <Characters>64372</Characters>
  <CharactersWithSpaces>76736</CharactersWithSpaces>
  <Paragraphs>3058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